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proven track record of building end-to-end machine learning pipelines from concept to deployment. Expert in Python, SQL, and cloud-based model lifecycle management, with hands-on experience in automated testing, CI/CD workflows, and GCP/Vertex AI environments. Successfully delivered high-impact predictive models and interactive dashboards, including a Random Forest classifier achieving 0.90–0.95 ROC-AUC. Committed to driving business excellence through scalable, maintainable code and sophisticated data-driven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dbt, Airflow, BigQuery, Power BI, Tableau,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Predictive modelling, Retail demand forecasting, TensorFlow, Keras, Scikit-learn, CNNs</w:t>
      </w:r>
    </w:p>
    <w:p>
      <w:pPr>
        <w:spacing w:before="0" w:after="20"/>
      </w:pPr>
      <w:r>
        <w:rPr>
          <w:b/>
        </w:rPr>
        <w:t xml:space="preserve">Cloud &amp; DB: </w:t>
      </w:r>
      <w:r>
        <w:t>GCP, Vertex AI, AWS, Azure, Oracle Cloud,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Git, CI/CD, pytest, Agentic pipelines, Cross-functional collaboration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retail demand forecasting  ·  dbt and Airflow data pipelines  ·  GCP and Vertex AI model deployment  ·  end-to-end model lifecycle ownership  ·  scalable and maintainable code  ·  stakeholder management  ·  automated CI/CD deployment  ·  SQL window functions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for NHS performance breach risk.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tests and multi-model failover for 24/7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data to identify drivers behind 4-hour target breaches, revealing a 29% compliance rate.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Owned the end-to-end lifecycle of an agentic LLM pipeline, from concept to deployment, ensuring 24/7 production reliability on Oracle Cloud (transferable to GCP/Vertex AI environments).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automated deployment pipelines and 121 automated unit tests using pytest to maintain high code quality and system stability, mirroring professional CI/CD best practices.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multi-model failover and rate-limiting to ensure scalable, maintainable code performance during high-volume web scraping of ~50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agentic quality-gate loop that iterates AI-tailored content until it clears an 85% ATS match threshold, driving technical excellence in automated workflows.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advanced SQL-driven analytics on 188 months of performance data, utilizing window functions and CTEs to support business leaders in prioritizing operational opportunities.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risk, achieving 0.90–0.95 ROC-AUC, applying techniques foundational to retail demand forecasting.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interactive Chart.js dashboard with 6 live charts to visualize KPIs, enabling cross-functional teams to monitor performance trends and seasonality heatmaps.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the collapse of the 4-hour waiting time target, revealing that the NHS met its 95% target in only 55 of 188 months (29% of the time).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 high-accuracy ML model for wildfire detection, achieving 98.84% accuracy on 2,700+ images,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model evaluation techniques, including GridSearchCV and cross-validation, to ensure robust performance and maintainable model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academic stakeholders to present findings, utilizing data augmentation and Multi-Scale Retinex preprocessing to address brightness variation.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