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May 2026</w:t>
      </w:r>
    </w:p>
    <w:p>
      <w:pPr>
        <w:spacing w:before="0" w:after="160" w:line="276" w:lineRule="auto"/>
      </w:pPr>
      <w:r>
        <w:rPr>
          <w:sz w:val="21"/>
        </w:rPr>
        <w:t>I am writing to share my background for the Data Analyst position at Netrolynx AI. With a solid foundation in computer science and hands-on experience in data manipulation, statistical modeling, and business intelligence, I am eager to contribute to your team's data-driven initiatives.</w:t>
      </w:r>
    </w:p>
    <w:p>
      <w:pPr>
        <w:spacing w:before="0" w:after="160" w:line="276" w:lineRule="auto"/>
      </w:pPr>
      <w:r>
        <w:rPr>
          <w:sz w:val="21"/>
        </w:rPr>
        <w:t>During my MSc in Computer Science at the University of Hertfordshire, where I graduated with Distinction, I focused heavily on translating complex datasets into actionable insights. In my academic work, I built interactive Power BI dashboards and utilized Python, SQL, and PostgreSQL to analyze sales and regional performance trends. Additionally, I developed an end-to-end machine learning pipeline using DenseNet-based CNNs on over 2,700 images, achieving a 98.84% predictive accuracy. This experience sharpened my ability to handle large, complex datasets and apply rigorous statistical modeling to uncover patterns and anomalies.</w:t>
      </w:r>
    </w:p>
    <w:p>
      <w:pPr>
        <w:spacing w:before="0" w:after="160" w:line="276" w:lineRule="auto"/>
      </w:pPr>
      <w:r>
        <w:rPr>
          <w:sz w:val="21"/>
        </w:rPr>
        <w:t>My practical skills are further demonstrated through intensive job simulations with Deloitte and BCG on Forage. In these simulations, I performed forensic data analysis, created interactive Tableau dashboards, and integrated complex financial data from 10-K and 10-Q reports to build an AI-powered chatbot. These experiences allowed me to practice translating complex data findings into concise, actionable recommendations for stakeholders, aligning directly with the responsibilities of this role.</w:t>
      </w:r>
    </w:p>
    <w:p>
      <w:pPr>
        <w:spacing w:before="0" w:after="160" w:line="276" w:lineRule="auto"/>
      </w:pPr>
      <w:r>
        <w:rPr>
          <w:sz w:val="21"/>
        </w:rPr>
        <w:t>I welcome the opportunity to discuss how my technical expertise in SQL, Python, Power BI, and data storage formats like Parquet and DuckDB can add value to Netrolynx AI.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