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30 May 2026</w:t>
      </w:r>
    </w:p>
    <w:p>
      <w:pPr>
        <w:spacing w:before="0" w:after="160" w:line="276" w:lineRule="auto"/>
      </w:pPr>
      <w:r>
        <w:rPr>
          <w:sz w:val="21"/>
        </w:rPr>
        <w:t>Dear Contentsquare team,</w:t>
      </w:r>
    </w:p>
    <w:p>
      <w:pPr>
        <w:spacing w:before="0" w:after="160" w:line="276" w:lineRule="auto"/>
      </w:pPr>
      <w:r>
        <w:rPr>
          <w:sz w:val="21"/>
        </w:rPr>
        <w:t>I am incredibly excited about the opportunity to join Contentsquare as a Professional Services Consultant on the Strategic Consulting Track. Having followed Contentsquare’s growth as a global leader in digital experience intelligence, I admire how your platform empowers organizations to deeply understand and optimize their customer journeys. My background in data analysis, quantitative problem-solving, and BI tools aligns perfectly with your mission to help clients realize measurable strategic value from their digital experience data.</w:t>
      </w:r>
    </w:p>
    <w:p>
      <w:pPr>
        <w:spacing w:before="0" w:after="160" w:line="276" w:lineRule="auto"/>
      </w:pPr>
      <w:r>
        <w:rPr>
          <w:sz w:val="21"/>
        </w:rPr>
        <w:t>In my previous projects, I have focused on bridging the gap between complex data infrastructure and strategic decision-making. For instance, during my work on the Wildfire Detection System, I built an end-to-end ML pipeline using TensorFlow and Keras on 2,700+ high-resolution images, achieving a 98.84% accuracy rate and presenting these technical outcomes as clear, actionable recommendations to stakeholders. Additionally, my experience building interactive Power BI and Tableau dashboards has allowed me to translate raw data into structured business prioritization roadmaps. I am eager to bring this analytical rigor to Contentsquare, collaborating closely with your Data Analysts and UX Design Consultants to guide clients through digital transformation.</w:t>
      </w:r>
    </w:p>
    <w:p>
      <w:pPr>
        <w:spacing w:before="0" w:after="160" w:line="276" w:lineRule="auto"/>
      </w:pPr>
      <w:r>
        <w:rPr>
          <w:sz w:val="21"/>
        </w:rPr>
        <w:t>I would welcome the opportunity to discuss how my technical understanding and passion for data-driven strategy can help your clients build internal advocacy for digital experience programmes.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