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02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Analyst role at Harnham. Having followed your work in the Green Tech space, I am impressed by your commitment to building robust data capabilities, and I am eager to contribute my technical expertise to your team.</w:t>
      </w:r>
    </w:p>
    <w:p>
      <w:pPr>
        <w:spacing w:before="0" w:after="160" w:line="276" w:lineRule="auto"/>
      </w:pPr>
      <w:r>
        <w:rPr>
          <w:sz w:val="21"/>
        </w:rPr>
        <w:t>In my recent projects, I have focused on bridging the gap between raw data and strategic decision-making. I have extensive experience building intuitive Tableau dashboards and writing performant SQL, including the use of CTEs to handle complex data transformations. My work consistently emphasizes a methodical approach to documentation and testing, ensuring that every insight delivered is accurate, reproducible, and clear to stakeholders across commercial and operational functions.</w:t>
      </w:r>
    </w:p>
    <w:p>
      <w:pPr>
        <w:spacing w:before="0" w:after="160" w:line="276" w:lineRule="auto"/>
      </w:pPr>
      <w:r>
        <w:rPr>
          <w:sz w:val="21"/>
        </w:rPr>
        <w:t>Beyond core analytics, I have successfully delivered commercial insights in revenue and pricing contexts, translating complex datasets into narratives that drive business value. My technical toolkit—spanning Python, SQL, and advanced BI tools—is complemented by a proactive mindset and a dedication to continuous learning. I am particularly drawn to this role because of the opportunity to work alongside senior analysts and engineers to solve real-world problems in a rapidly expanding company.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am eager to bring my structured analytical mindset and technical proficiency to Harnham and look forward to the possibility of discussing how my skills can support your team's goals.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