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a strong foundation in SQL, Tableau, and commercial analytics. Expert in crafting intuitive dashboards and performing deep-dive analysis to support strategic decision-making. Proven ability to write performant SQL, including CTEs, and deliver actionable insights for revenue and pricing projects. Successfully engineered agentic AI workflows and automated reporting systems, achieving a 98.84% accuracy rate in predictive modeling and delivering 121+ automated unit tests for production-grade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Tableau, SQL, Power BI, Pandas, NumPy, Excel (Advanced)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JavaScript, TypeScript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Analysis, Dashboards, Stakeholder Engagement, Documentation, Data Testing, Commercial Insights, CTEs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SQL  ·  Tableau  ·  Dashboards  ·  Stakeholder Engagement  ·  Documentation  ·  Data Testing  ·  Reporting  ·  Commercial Insights  ·  CTEs (Common Table Expressions)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 model performance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 AI pipeline scraping 50+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quality-gate loop ensuring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using pytest for production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advanced SQL (including CTEs) for data extraction and ranking.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outputs, ensuring 85%+ ATS match threshold through rigorous data testing and 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production-grade reliability by implementing rate-limiting, exponential-backoff retries,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code accuracy, consistency, and methodical documentation of project steps.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 and support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deep-dive analysis using Excel to classify data and draw business conclusions for operational stakeholders, achieving 100% data accuracy in reporting.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deliver commercial insights, including revenue and pricing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 and pandas for data manipulation to create a chatbot providing user-friendly financial analysis for corporate stakeholders.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performance, identified root causes of bugs, and implemented fixes through structured testing.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using a methodical approach to ensure system accuracy and consistency, resulting in a 15% reduction in bug recurrence.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DenseNet-based CNNs on 2,700+ high-resolution images to deliver actionable detection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 and cross-validation for robust model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performance metrics with Matplotlib/Seaborn and presented findings to stakeholders to drive project direction.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Tableau and Power BI dashboards using DAX and data modeling to surface KPIs and region-based trends for 5+ distinct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methodical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