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building predictive models and end-to-end machine learning pipelines. Proficient in Python, SQL, Azure, and Databricks, with a strong foundation in applying machine learning techniques within regulated financial and insurance-style environments. Proven ability to translate complex data into actionable insights, having achieved a 98.84% accuracy rate in production-grade ML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Neural networks, Databricks, Scikit-learn, TensorFlow, Keras, Pattern matching, Forecasting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Data mining, Visualisation, Power BI,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Databricks, AWS,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Git,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Regulated Environment Compliance  ·  End-to-end Production Lifecycles  ·  Predictive modeling  ·  Stakeholder engagement  ·  Model-based insights  ·  Data integration  ·  Requirement specification  ·  Automated unit testing  ·  Sentiment analysis  ·  Cluster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deliver automated,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to scrape 50+ job postings, integrating Google Gemini LLMs to perform data mining and generate predictive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model outputs against an 85%+ match threshold, ensuring data is fit for purpose within a production-grade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unit testing with 121 pytest cases and production-grade reliability features including rate-limiting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Telegram bot on an Oracle Cloud VM, utilizing Azure-compatible cloud architectures to provide real-time model-based insights.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classification to surface business insights within a simulated regulated environment, mirroring financial services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present findings and support strategic decision-making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pandas to perform data manipulation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financial chatbot using rule-based logic to provide user-friendly insights and sentiment-based analysis, gaining exposure to Databricks-style data processing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 to ensure high-quality, well-engineered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a production-scale system, focusing on code refactoring and documentation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DenseNet-based neural networks on 2,700+ high-resolution images to support predictive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advanced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communicate findings clearly to stakeholders and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automated analysis workflows using Generative AI, improving iteration speed by 20% and ensuring clear code documentation.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 to improve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