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29 June 2026</w:t>
      </w:r>
    </w:p>
    <w:p>
      <w:pPr>
        <w:spacing w:before="0" w:after="160" w:line="276" w:lineRule="auto"/>
      </w:pPr>
      <w:r>
        <w:rPr>
          <w:sz w:val="21"/>
        </w:rPr>
        <w:t>Dear Data Reply team,</w:t>
      </w:r>
    </w:p>
    <w:p>
      <w:pPr>
        <w:spacing w:before="0" w:after="160" w:line="276" w:lineRule="auto"/>
      </w:pPr>
      <w:r>
        <w:rPr>
          <w:sz w:val="21"/>
        </w:rPr>
        <w:t>I have been following Data Reply’s work in delivering sophisticated AI and machine learning solutions for global brands, and I am particularly impressed by your commitment to end-to-end production deployment on AWS. As an AI and Machine Learning Engineer, I am drawn to your collaborative culture, specifically the emphasis on Hackathons and Labcamps, which mirrors the environment I cultivated while building my own agentic LLM pipeline and NHS performance analytics projects.</w:t>
      </w:r>
    </w:p>
    <w:p>
      <w:pPr>
        <w:spacing w:before="0" w:after="160" w:line="276" w:lineRule="auto"/>
      </w:pPr>
      <w:r>
        <w:rPr>
          <w:sz w:val="21"/>
        </w:rPr>
        <w:t>In my recent work, I focused on the full ML lifecycle—from data collection and feature engineering to model deployment and monitoring. For instance, I engineered an agentic quality-gate loop that iterates AI-generated content to meet an 85% ATS match threshold, ensuring high-quality, automated outputs. This required not only Python and TensorFlow expertise but also a rigorous approach to infrastructure, as I managed the 24/7 deployment of this pipeline on Oracle Cloud with 121 automated unit tests. Similarly, my work on the NHS A&amp;E performance project involved translating complex, multi-year datasets into actionable insights using Scikit-learn and SQL, demonstrating my ability to communicate technical findings to stakeholders effectively.</w:t>
      </w:r>
    </w:p>
    <w:p>
      <w:pPr>
        <w:spacing w:before="0" w:after="160" w:line="276" w:lineRule="auto"/>
      </w:pPr>
      <w:r>
        <w:rPr>
          <w:sz w:val="21"/>
        </w:rPr>
        <w:t>I am eager to bring this same growth mindset to Data Reply, where I can contribute to your MLOps workflows and help implement robust models into production. I am comfortable working in diverse, fast-paced environments and am ready to tackle the challenging problems your clients face. I would appreciate the chance to discuss how my experience with model evaluation and cloud-based deployment can add value to your team. Please let me know if you are available for a brief conversation next week.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