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I am writing to apply for the Data Scientist &amp; Machine Learning Researcher role within the Strategic Research Group at Raytheon. Having recently completed my MSc in Computer Science with a Distinction, I have focused my research on developing novel AI solutions, specifically in agentic pipelines and Large Language Models. My technical approach is rooted in rigorous model evaluation and the ability to deliver robust, production-ready code.</w:t>
      </w:r>
    </w:p>
    <w:p>
      <w:pPr>
        <w:spacing w:before="0" w:after="160" w:line="276" w:lineRule="auto"/>
      </w:pPr>
      <w:r>
        <w:rPr>
          <w:sz w:val="21"/>
        </w:rPr>
        <w:t>In my recent projects, I have demonstrated the ability to handle the full research-to-delivery lifecycle. For instance, I developed an agentic LLM pipeline that utilizes HuggingFace and Python to automate complex tasks, ensuring reliability through 121 automated tests and Linux-based Docker deployments. My work on wildfire detection, which achieved 98.84% accuracy using DenseNet architectures, reflects my commitment to high-quality scientific research and documentation. I am well-versed in both PyTorch and TensorFlow, allowing me to select the most appropriate tools for specific data-centric problems.</w:t>
      </w:r>
    </w:p>
    <w:p>
      <w:pPr>
        <w:spacing w:before="0" w:after="160" w:line="276" w:lineRule="auto"/>
      </w:pPr>
      <w:r>
        <w:rPr>
          <w:sz w:val="21"/>
        </w:rPr>
        <w:t>I am particularly interested in applying these skills to the defence sector, where precision and novel thinking are paramount. My experience analyzing 188 months of NHS performance data demonstrates my ability to work with large, complex datasets to drive actionable insights. I am comfortable working in agile environments and communicating technical findings to diverse stakeholders, ensuring that research translates effectively into mission-focused outcomes.</w:t>
      </w:r>
    </w:p>
    <w:p>
      <w:pPr>
        <w:spacing w:before="0" w:after="160" w:line="276" w:lineRule="auto"/>
      </w:pPr>
      <w:r>
        <w:rPr>
          <w:sz w:val="21"/>
        </w:rPr>
        <w:t>I am eager to bring my proactive, self-starting approach to the Raytheon team. Thank you for considering my application; I am available at your convenience to discuss how my background in applied AI and research can support the Strategic Research Group’s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