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29 June 2026</w:t>
      </w:r>
    </w:p>
    <w:p>
      <w:pPr>
        <w:spacing w:before="0" w:after="160" w:line="276" w:lineRule="auto"/>
      </w:pPr>
      <w:r>
        <w:rPr>
          <w:sz w:val="21"/>
        </w:rPr>
        <w:t>Dear Jack &amp; Jill team,</w:t>
      </w:r>
    </w:p>
    <w:p>
      <w:pPr>
        <w:spacing w:before="0" w:after="160" w:line="276" w:lineRule="auto"/>
      </w:pPr>
      <w:r>
        <w:rPr>
          <w:sz w:val="21"/>
        </w:rPr>
        <w:t>I am reaching out to express my interest in the Machine Learning Engineer position. Your mission to redefine digital connection through AI-driven social experiences is compelling, particularly the challenge of integrating sophisticated recommendation algorithms into a high-growth ecosystem. I am drawn to the opportunity to influence core product architecture and see my models impact millions of real-time interactions daily.</w:t>
      </w:r>
    </w:p>
    <w:p>
      <w:pPr>
        <w:spacing w:before="0" w:after="160" w:line="276" w:lineRule="auto"/>
      </w:pPr>
      <w:r>
        <w:rPr>
          <w:sz w:val="21"/>
        </w:rPr>
        <w:t>In my recent work, I have focused on bridging the gap between data science and production. I built and deployed an end-to-end agentic LLM pipeline on Oracle Cloud that maintains 24/7 uptime, utilizing multi-model failover and automated quality-gate loops to ensure high-quality, real-time responses. This project required not only deep learning expertise but also a rigorous approach to system reliability and latency optimization, mirroring the requirements for your recommendation systems and user behavior prediction features.</w:t>
      </w:r>
    </w:p>
    <w:p>
      <w:pPr>
        <w:spacing w:before="0" w:after="160" w:line="276" w:lineRule="auto"/>
      </w:pPr>
      <w:r>
        <w:rPr>
          <w:sz w:val="21"/>
        </w:rPr>
        <w:t>Furthermore, my work on predictive modeling for the NHS involved analyzing 188 months of complex data to identify performance drivers. By utilizing Random Forest classifiers and advanced SQL window functions, I achieved a 0.90–0.95 ROC-AUC, demonstrating my ability to translate raw data into actionable insights. I am confident that my proficiency in Python, TensorFlow, and cloud-native deployment will allow me to contribute immediately to your engineering team.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experience in building scalable ML pipelines can support your goals at Jack &amp; Jill. Please let me know if you have time for a brief call to discuss the role further.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