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I am writing to apply for the Applied AI Engineer role within the BPL business area at Barclays. Having closely followed the partnership between Barclays and Brookfield to transform the payments acceptance business, I am excited by the prospect of contributing to such a significant, long-term strategic initiative. My background in building production-ready AI systems, combined with my technical expertise in Python, TensorFlow, and Scikit-learn, aligns directly with the requirements for this role.</w:t>
      </w:r>
    </w:p>
    <w:p>
      <w:pPr>
        <w:spacing w:before="0" w:after="160" w:line="276" w:lineRule="auto"/>
      </w:pPr>
      <w:r>
        <w:rPr>
          <w:sz w:val="21"/>
        </w:rPr>
        <w:t>During my MSc and personal projects, I have focused on building scalable, reliable AI solutions. For instance, I developed an end-to-end agentic LLM pipeline that utilizes RAG and MCP-like patterns to automate complex workflows, achieving an 85% success rate in ATS-optimized content generation. My work on the NHS A&amp;E performance project involved processing 188 months of data to identify critical drivers of service breaches, a task that required both advanced SQL data engineering and the ability to translate complex findings into actionable strategic insights for stakeholders.</w:t>
      </w:r>
    </w:p>
    <w:p>
      <w:pPr>
        <w:spacing w:before="0" w:after="160" w:line="276" w:lineRule="auto"/>
      </w:pPr>
      <w:r>
        <w:rPr>
          <w:sz w:val="21"/>
        </w:rPr>
        <w:t>I understand that this role demands more than just technical proficiency; it requires a deep commitment to risk and controls, governance, and the ability to operate within a large-scale corporate transformation environment. My experience in virtual simulations with Deloitte and BCG has provided me with exposure to financial data analysis and the importance of aligning technical outputs with business-critical objectives. I am comfortable working in environments that prioritize security and reliability, and I am eager to apply these principles to the payments infrastructure at Barclays.</w:t>
      </w:r>
    </w:p>
    <w:p>
      <w:pPr>
        <w:spacing w:before="0" w:after="160" w:line="276" w:lineRule="auto"/>
      </w:pPr>
      <w:r>
        <w:rPr>
          <w:sz w:val="21"/>
        </w:rPr>
        <w:t>I am a proactive problem-solver who thrives on building systems that are not only innovative but also sustainable and secure. I am confident that my ability to bridge the gap between complex machine learning models and business-aligned outcomes will make me a strong contributor to your team.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