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29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LexisNexis Risk Solutions. My background in building end-to-end machine learning pipelines and predictive risk models aligns with your team's focus on protecting billions of transactions from fraud. During my recent projects, I developed a breach risk classifier that achieved 0.90–0.95 ROC-AUC, demonstrating my ability to define features that capture complex patterns—a skill I am eager to apply to your real-time fraud detection platform.</w:t>
      </w:r>
    </w:p>
    <w:p>
      <w:pPr>
        <w:spacing w:before="0" w:after="160" w:line="276" w:lineRule="auto"/>
      </w:pPr>
      <w:r>
        <w:rPr>
          <w:sz w:val="21"/>
        </w:rPr>
        <w:t>My technical approach is rooted in production-grade standards. For my recent agentic LLM pipeline, I implemented 121 automated unit tests and multi-model failover mechanisms to ensure 24/7 reliability. I am well-versed in the MLOps principles required to build scalable, standardised workflows, and I am prepared to apply these to your banking model governance standards. Whether it is using advanced SQL window functions to uncover performance trends or deploying models on cloud infrastructure, I focus on transforming raw data into actionable insights that reduce customer friction and fraud losses.</w:t>
      </w:r>
    </w:p>
    <w:p>
      <w:pPr>
        <w:spacing w:before="0" w:after="160" w:line="276" w:lineRule="auto"/>
      </w:pPr>
      <w:r>
        <w:rPr>
          <w:sz w:val="21"/>
        </w:rPr>
        <w:t>Beyond the technical implementation, I pride myself on my ability to craft a story through data. My experience presenting complex model performance to stakeholders has prepared me to collaborate effectively with your product, engineering, and account teams. I am excited by the prospect of working at LexisNexis Risk Solutions to go head-to-head against sophisticated attackers and protect enterprise revenue.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