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(Distinction) and a proven track record in building predictive models and end-to-end machine learning pipelines. Expert in Python, SQL, and Scikit-learn, with hands-on experience processing complex, large-scale datasets to drive actionable financial insights. Successfully engineered a Random Forest classifier achieving 0.90–0.95 ROC-AUC for risk-based performance analysis and deployed agentic LLM pipelines at scale. Eager to contribute to Abound’s proprietary loan decision platform, Render, by applying advanced analytics to credit risk and consumer lending.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Random Forest, TensorFlow, Keras, CNNs, Predictive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Cross-validation, Feature engineering,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credit risk analytics  ·  feature engineering  ·  model evaluation  ·  cross-functional collaboration  ·  data modelling  ·  automated lending decisions  ·  portfolio monitoring  ·  impairment measurement  ·  risk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for risk prediction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 to ensure production-grade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 for 20+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through rate-limiting, exponential-backoff retries, multi-model failover,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VM, integrated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perform credit risk-style analytics on 4-hour waiting time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monthly breach risk (0.90–0.95 ROC-AUC), identifying seasonality and compliance history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12-hour waiter spikes and status breakdowns, to support data-driven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while addressing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