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strong foundation in machine learning, statistical analysis, and model deployment. Proficient in Python, SQL, scikit-learn, and TensorFlow, with hands-on experience in exploratory data analysis (EDA), feature engineering, and data visualisation using Power BI and Tableau. Successfully engineered and deployed production-grade ML pipelines, including a DenseNet CNN achieving 98.84% accuracy and an agentic LLM system with 121 automated tests. Committed to delivering data-driven solutions through rigorous model validation, performance optimisation, and clear communication of technical insights to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Exploratory data analysis (EDA), Data visualisation, Matplotlib, Seaborn,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Feature engineering, Model validation, Cross-validation, CNNs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Relational databases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Agentic pipelines, Prompt engineering, Web scraping,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exploratory data analysis  ·  feature engineering  ·  model development  ·  model validation  ·  performance optimisation  ·  data visualisation  ·  machine learning models  ·  analytical solutions  ·  data preparation  ·  statistical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A&amp;E data, identifying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breach risk prediction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for exploratory data analysis and automated scoring of ~50 job postings per run across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model validation, ensuring AI-tailored content meets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production reliability through multi-model failover, rate-limiting,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machine learning solution on Oracle Cloud with a responsive dashboard for stakeholder monitoring.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on 188 months of NHS England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classify performance trends,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prediction, achieving 0.90–0.95 ROC-AUC using feature engineering on rolling compliance history.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interactive Power BI and Chart.js visualisations to communicate complex performance metrics and seasonality heatmaps to non-technical audiences.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machine learning pipeline for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performance by +16% over baseline architectures through rigorous feature engineering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presented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