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Research Specialist in Data Science, AI &amp; Machine Learning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Research Specialist in Data Science, AI &amp; Machine Learning with an MSc in Computer Science (Distinction) and a focus on applied research. Expert in designing agentic AI systems, large language models, and Python-based research prototypes for complex data environments. Proven track record of delivering high-accuracy machine learning solutions, including a 98.84% accurate wildfire detection system and large-scale NHS performance analytics. Committed to driving innovation through original research, experimentation, and the development of scalable AI architectures.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TensorFlow, Keras, Scikit-learn, CNNs (DenseNet), cross-validation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Large language models, agentic AI systems, Google Gemini API, prompt engineering, LLM API integration</w:t>
      </w:r>
    </w:p>
    <w:p>
      <w:pPr>
        <w:spacing w:before="0" w:after="20"/>
      </w:pPr>
      <w:r>
        <w:rPr>
          <w:b/>
        </w:rPr>
        <w:t xml:space="preserve">Data &amp; BI: </w:t>
      </w:r>
      <w:r>
        <w:t>Data science, Pandas, NumPy, Power BI, Tableau</w:t>
      </w:r>
    </w:p>
    <w:p>
      <w:pPr>
        <w:spacing w:before="0" w:after="20"/>
      </w:pPr>
      <w:r>
        <w:rPr>
          <w:b/>
        </w:rPr>
        <w:t xml:space="preserve">Tools &amp; Methods: </w:t>
      </w:r>
      <w:r>
        <w:t>Research prototypes, pytest, Oracle Cloud, AWS S3, Azure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AI systems  ·  large language models  ·  research prototypes  ·  machine learning  ·  data science  ·  predictive modelling  ·  cross-validation  ·  feature engineering  ·  model evaluation  ·  data augmentation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 and multi-model failover for 24/7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data, identifying a 51-month crisis streak and 141x increase in 12-hour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 achieving 0.90–0.95 ROC-AUC.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developed research prototypes for an agentic AI system using Python and Google Gemini LLMs to automate complex document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outputs until clearing an 85% ATS match threshold, ensuring high-quality research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multi-model failover, exponential-backoff retries,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system as a 24/7 research prototype on Oracle Cloud, utilizing a responsive Next.js and Tailwind CSS dashboard for stakeholder visualization.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Investigated 188 months of NHS England A&amp;E performance data to identify drivers of target breaches, applying advanced SQL window functions and CTEs.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predictive modelling of breach risk, achieving 0.90–0.95 ROC-AUC and identifying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research dashboard via Chart.js, surfacing insights on 12-hour waiter spikes (141× the March 2019 level) to inform performance strategy.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cross-validation and feature engineering to classify performance trends across 51 consecutive months of crisis-status data.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machine learning pipeline for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research findings to academic stakeholders, utilizing GridSearchCV and Matplotlib to validate model robustness and performance.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