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specialising in developing predictive models and advanced analytical solutions for complex datasets. Expert in Python, SQL, and Azure, with a foundational understanding of Databricks for scalable data processing and experience extracting insights from financial 10-K/10-Q reports. Proven track record of delivering high-impact projects, including a Random Forest classifier achieving 0.90–0.95 ROC-AUC and a production-grade LLM pipeline. Successfully translated 188 months of complex structured and unstructured datasets into actionable insights, driving a 16% performance improvement in predictive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Python, Databricks, Power BI, Tableau, Pandas, NumPy,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models, Scikit-learn, TensorFlow, Keras, CNNs, Random Forest,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AWS S3,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automated data pipelines, statistical modelling, data augmentation, GridSearchCV, pytest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models  ·  automated data pipelines  ·  statistical modelling  ·  structured and unstructured datasets  ·  Databricks (foundational)  ·  financial/economic datasets (10-K/10-Q analysis)  ·  consulting-style analytical solutions  ·  machine learning techniques  ·  data-driven decision-making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0.90–0.95 ROC-AUC with a Random Forest classifier for breach risk prediction.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complex NHS performance data to identify critical 4-hour target breach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tests to ensure production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integrating Google Gemini LLMs to generate predictive analytical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unstructured text data to ensure an 85% ATS match threshold, improving the quality of analytical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 and 121 automated unit tests using pytest to ensure high-quality data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solution on an Oracle Cloud VM, maintaining 24/7 availability for real-world data-driven decision-making.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 structured NHS England A&amp;E performance data to identify patterns behind the 4-hour waiting time target collapse.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SQL window functions and CTEs to classify performance trends, revealing that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rolling 3-month compliance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to translate complex statistical modelling into actionable insights for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using DenseNet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statistical techniques and data augmentation to address brightness variation and class imbalance in unstructured image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GridSearchCV and cross-validation to refine model performance and ensure robust analytical solutions.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