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Agentic AI Engineer (life sciences)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Agentic AI Engineer with a strong foundation in building and deploying production-grade LLM-agentic workflows. Expert in designing agentic pipelines featuring multi-model failover, quality-gate loops, and rigorous automated testing to ensure reliability. Proven ability to translate complex domain-specific problems into actionable technical solutions using Python, SQL, and advanced prompt engineering. Committed to applying engineering expertise to accelerate drug discovery and improve patient outcomes at Healx.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 (DenseNet), model evaluation, cross-validation</w:t>
      </w:r>
    </w:p>
    <w:p>
      <w:pPr>
        <w:spacing w:before="0" w:after="20"/>
      </w:pPr>
      <w:r>
        <w:rPr>
          <w:b/>
        </w:rPr>
        <w:t xml:space="preserve">GenAI &amp; LLMs: </w:t>
      </w:r>
      <w:r>
        <w:t>agentic pipelines, LLM-agentic systems, prompt engineering, Google Gemini API, multi-model failover, RAG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pytest, web scraping, Oracle Cloud, Vercel, AWS S3, Next.js, React, Node.js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workflows  ·  production-grade LLM systems  ·  automated testing  ·  software engineering fundamentals  ·  evaluation harnesses  ·  multi-step workflows  ·  tool use  ·  data modelling  ·  feature engineering  ·  technical documentation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agentic LLM pipeline with 121 automated unit tests to ensure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image classification,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complex performance data to identify critical drivers of service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an end-to-end pipeline to score and rank 50+ job postings per run with an 85% ATS match threshold.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shipped a production-grade agentic LLM pipeline that orchestrates multi-step workflows to score, rank, and auto-tailor content for 50+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AI-generated outputs until they meet an 85% ATS match threshold, ensuring reliable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production patterns including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maintain high code quality and ensure the system remains maintainable for future scaling.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agentic system 24/7 on an Oracle Cloud VM, integrated with a responsive Next.js dashboard for real-time monitoring.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complex healthcare data to translate performance bottlenecks into actionable insights, identifying that targets were met in only 29% of observed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status, revealing a 51-month streak of crisis-level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trained a Random Forest classifier to predict breach risk with 0.90–0.95 ROC-AUC, identifying key predictive features for performance evaluation.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to visualize seasonality and performance trends, providing a clear evidence base for decision-making.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end-to-end ML pipeline using DenseNet-based CNNs on 2,700+ high-resolution images, achieving 98.84% accuracy—a +16% improvement over baseline models.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rigorous evaluation strategies including GridSearchCV and cross-validation to ensure model robustness and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Preprocessed heterogeneous image data using Multi-Scale Retinex and data augmentation to address brightness variation and class imbalance.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