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Applied AI Engineer - BPL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AI Engineer - BPL with a Distinction-level MSc in Computer Science and expertise in Python, TensorFlow, and Scikit-learn. Proven track record in developing agentic pipelines, RAG architectures, and MCP-integrated LLM solutions for complex data environments. Successfully engineered high-accuracy predictive models and automated data pipelines that process large-scale datasets to drive strategic decision-making and risk mitigation. Committed to delivering secure, governance-aligned AI systems within dynamic, large-scale enterprise environments, leveraging a background in financial data simulation and performance analytics.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GenAI, LLMs, RAG, MCP, agentic pipelines, prompt engineering, multi-model failover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Scikit-learn, PyTorch, Keras, CNNs, model evaluation,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data pipelines, data lakes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pytest, risk and controls, data engineering,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RAG (Retrieval-Augmented Generation)  ·  Model Context Protocol (MCP)  ·  Fintech &amp; Payments sector domain knowledge  ·  Strategic resource planning and budget alignment  ·  Large-scale corporate transformation  ·  Stakeholder management  ·  Risk and controls governance  ·  Enterprise AI solutions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production-grade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months of NHS performance data processed for strategic breach analysis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x increase in 12+ hour wait times identified via SQL-driven analytics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ATS match threshold achieved through agentic quality-gate loops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leveraging Google Gemini LLMs to score and auto-tailor content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loop—incorporating RAG and MCP-like patterns—that iterates AI-tailored resumes to ensure they meet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production-ready AI operations including rate-limiting, exponential-backoff retries, multi-model failover, and content-based deduplication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ensure code quality and system stability for 24/7 deployment on Oracle Cloud.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identify drivers of 4-hour target breaches, applying advanced SQL window functions and CTEs to manage large-scale data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with 0.90–0.95 ROC-AUC, identifying key predictive features for strategic planning and resource allocation.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performance trends revealing the NHS met its 95% target in only 55 of 188 months (29% of the time), with January 2026 recording 71,517 patients waiting 12+ hours—141×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interactive dashboard to surface KPIs and seasonality heatmaps, ensuring data accessibility for complex performance monitoring and stakeholder communication.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adherence to rigorous evaluation frameworks and risk-mitigation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data processing workflows using Multi-Scale Retinex preprocessing to mitigate brightness variation and class imbalance, ensuring high-quality data inputs for model training.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