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with an MSc in Computer Science, specialising in predictive modelling, forecasting, and cloud-based AI deployment. Expert in Python and SQL, with a proven ability to build end-to-end data science solutions that drive commercial impact and digital commerce performance. Experienced in applying machine learning to complex datasets, including customer segmentation and forecasting, to deliver actionable business insights. Delivered a 98.84% accuracy rate in predictive image classification and engineered automated pipelines that achieved an 85% ATS match threshold.</w:t>
      </w:r>
    </w:p>
    <w:p>
      <w:pPr>
        <w:keepNext/>
        <w:spacing w:before="200" w:after="40"/>
        <w:pBdr>
          <w:bottom w:val="single" w:sz="6" w:space="1" w:color="808080"/>
        </w:pBdr>
      </w:pPr>
      <w:r>
        <w:rPr>
          <w:b/>
          <w:sz w:val="22"/>
        </w:rPr>
        <w:t>CORE SKILLS</w:t>
      </w:r>
    </w:p>
    <w:p>
      <w:pPr>
        <w:spacing w:before="0" w:after="20"/>
      </w:pPr>
      <w:r>
        <w:rPr>
          <w:b/>
        </w:rPr>
        <w:t xml:space="preserve">Data &amp; BI: </w:t>
      </w:r>
      <w:r>
        <w:t>SQL, Power BI, Pandas, NumPy, Tableau, Advanced Excel, Customer segmentation, Optimising ad spend, Forecasting</w:t>
      </w:r>
    </w:p>
    <w:p>
      <w:pPr>
        <w:spacing w:before="0" w:after="20"/>
      </w:pPr>
      <w:r>
        <w:rPr>
          <w:b/>
        </w:rPr>
        <w:t xml:space="preserve">Machine Learning: </w:t>
      </w:r>
      <w:r>
        <w:t>Predictive models, Statistical modelling, Scikit-learn, TensorFlow, Keras, CNNs, Customer Lifetime Value (CLV) modelling</w:t>
      </w:r>
    </w:p>
    <w:p>
      <w:pPr>
        <w:spacing w:before="0" w:after="20"/>
      </w:pPr>
      <w:r>
        <w:rPr>
          <w:b/>
        </w:rPr>
        <w:t xml:space="preserve">Languages: </w:t>
      </w:r>
      <w:r>
        <w:t>Python, JavaScript/TypeScript</w:t>
      </w:r>
    </w:p>
    <w:p>
      <w:pPr>
        <w:spacing w:before="0" w:after="20"/>
      </w:pPr>
      <w:r>
        <w:rPr>
          <w:b/>
        </w:rPr>
        <w:t xml:space="preserve">Cloud &amp; DB: </w:t>
      </w:r>
      <w:r>
        <w:t>AWS, Azure, Oracle Cloud, Snowflake, Vercel</w:t>
      </w:r>
    </w:p>
    <w:p>
      <w:pPr>
        <w:spacing w:before="0" w:after="20"/>
      </w:pPr>
      <w:r>
        <w:rPr>
          <w:b/>
        </w:rPr>
        <w:t xml:space="preserve">Tools &amp; Methods: </w:t>
      </w:r>
      <w:r>
        <w:t>Experimentation, Agentic pipelines, Prompt engineering, pytest, Data augmentation, Cross-validation</w:t>
      </w:r>
    </w:p>
    <w:p>
      <w:pPr>
        <w:keepNext/>
        <w:spacing w:before="200" w:after="40"/>
        <w:pBdr>
          <w:bottom w:val="single" w:sz="6" w:space="1" w:color="808080"/>
        </w:pBdr>
      </w:pPr>
      <w:r>
        <w:rPr>
          <w:b/>
          <w:sz w:val="22"/>
        </w:rPr>
        <w:t>CORE COMPETENCIES</w:t>
      </w:r>
    </w:p>
    <w:p>
      <w:pPr>
        <w:spacing w:before="0" w:after="40"/>
      </w:pPr>
      <w:r>
        <w:t>predictive models  ·  statistical modelling  ·  forecasting  ·  experimentation  ·  customer segmentation  ·  digital commerce  ·  optimising ad spend  ·  Customer Lifetime Value (CLV) modelling  ·  stakeholder management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Identified drivers of NHS A&amp;E performance, revealing a 95% target compliance rate of only 29% over 188 months.</w:t>
      </w:r>
    </w:p>
    <w:p>
      <w:pPr>
        <w:pStyle w:val="ListBullet"/>
        <w:spacing w:before="0" w:after="40"/>
        <w:ind w:left="360"/>
      </w:pPr>
      <w:r/>
      <w:r>
        <w:rPr>
          <w:sz w:val="21"/>
        </w:rPr>
        <w:t>Engineered an agentic LLM pipeline that iterates to clear an 85% ATS match threshold for job applications.</w:t>
      </w:r>
    </w:p>
    <w:p>
      <w:pPr>
        <w:pStyle w:val="ListBullet"/>
        <w:spacing w:before="0" w:after="40"/>
        <w:ind w:left="360"/>
      </w:pPr>
      <w:r/>
      <w:r>
        <w:rPr>
          <w:sz w:val="21"/>
        </w:rPr>
        <w:t>Built a Random Forest classifier for breach risk prediction with 0.90–0.95 ROC-AUC performance.</w:t>
      </w:r>
    </w:p>
    <w:p>
      <w:pPr>
        <w:pStyle w:val="ListBullet"/>
        <w:spacing w:before="0" w:after="40"/>
        <w:ind w:left="360"/>
      </w:pPr>
      <w:r/>
      <w:r>
        <w:rPr>
          <w:sz w:val="21"/>
        </w:rPr>
        <w:t>Processed 188 months of NHS performance data to quantify a 141× increase in 12+ hour wait times.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using Google Gemini LLMs to score and rank matches, mirroring digital acquisition workflows for optimising ad spend.</w:t>
      </w:r>
    </w:p>
    <w:p>
      <w:pPr>
        <w:pStyle w:val="ListBullet"/>
        <w:spacing w:before="0" w:after="40"/>
        <w:ind w:left="360"/>
      </w:pPr>
      <w:r/>
      <w:r>
        <w:rPr>
          <w:sz w:val="21"/>
        </w:rPr>
        <w:t>Engineered an agentic quality-gate loop that re-scores AI-tailored content, iterating until clearing an 85% ATS match threshold to ensure high-quality output.</w:t>
      </w:r>
    </w:p>
    <w:p>
      <w:pPr>
        <w:pStyle w:val="ListBullet"/>
        <w:spacing w:before="0" w:after="40"/>
        <w:ind w:left="360"/>
      </w:pPr>
      <w:r/>
      <w:r>
        <w:rPr>
          <w:sz w:val="21"/>
        </w:rPr>
        <w:t>Implemented production-grade reliability features including rate-limiting, exponential-backoff retries, multi-model failover, and content-based deduplication.</w:t>
      </w:r>
    </w:p>
    <w:p>
      <w:pPr>
        <w:pStyle w:val="ListBullet"/>
        <w:spacing w:before="0" w:after="40"/>
        <w:ind w:left="360"/>
      </w:pPr>
      <w:r/>
      <w:r>
        <w:rPr>
          <w:sz w:val="21"/>
        </w:rPr>
        <w:t>Delivered 121 automated unit tests using pytest and generated ATS-clean .docx files programmatically to support automated workflows.</w:t>
      </w:r>
    </w:p>
    <w:p>
      <w:pPr>
        <w:pStyle w:val="ListBullet"/>
        <w:spacing w:before="0" w:after="40"/>
        <w:ind w:left="360"/>
      </w:pPr>
      <w:r/>
      <w:r>
        <w:rPr>
          <w:sz w:val="21"/>
        </w:rPr>
        <w:t>Deployed 24/7 as a Telegram bot on an Oracle Cloud VM, with a responsive Next.js + Tailwind CSS dashboard hosted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real NHS England A&amp;E performance data (Aug 2010 – Mar 2026) to identify drivers behind the long-term collapse of the 4-hour waiting time target.</w:t>
      </w:r>
    </w:p>
    <w:p>
      <w:pPr>
        <w:pStyle w:val="ListBullet"/>
        <w:spacing w:before="0" w:after="40"/>
        <w:ind w:left="360"/>
      </w:pPr>
      <w:r/>
      <w:r>
        <w:rPr>
          <w:sz w:val="21"/>
        </w:rPr>
        <w:t>Wrote advanced SQL queries using window functions (LAG, AVG OVER), CTEs, and CASE logic to classify performance, revealing the 95% target was met in only 55 of 188 months (29% of the time).</w:t>
      </w:r>
    </w:p>
    <w:p>
      <w:pPr>
        <w:pStyle w:val="ListBullet"/>
        <w:spacing w:before="0" w:after="40"/>
        <w:ind w:left="360"/>
      </w:pPr>
      <w:r/>
      <w:r>
        <w:rPr>
          <w:sz w:val="21"/>
        </w:rPr>
        <w:t>Quantified a 141× increase in 12+ hour wait times in January 2026 compared to March 2019, identifying an unbroken 51-month Crisis-status streak.</w:t>
      </w:r>
    </w:p>
    <w:p>
      <w:pPr>
        <w:pStyle w:val="ListBullet"/>
        <w:spacing w:before="0" w:after="40"/>
        <w:ind w:left="360"/>
      </w:pPr>
      <w:r/>
      <w:r>
        <w:rPr>
          <w:sz w:val="21"/>
        </w:rPr>
        <w:t>Built a Random Forest classifier predicting monthly breach risk (0.90–0.95 ROC-AUC), identifying rolling 3-month compliance history and month-of-year as the strongest predictive features for forecasting future breaches.</w:t>
      </w:r>
    </w:p>
    <w:p>
      <w:pPr>
        <w:pStyle w:val="ListBullet"/>
        <w:spacing w:before="0" w:after="40"/>
        <w:ind w:left="360"/>
      </w:pPr>
      <w:r/>
      <w:r>
        <w:rPr>
          <w:sz w:val="21"/>
        </w:rPr>
        <w:t>Delivered an interactive Chart.js dashboard with 6 live charts—including compliance trends and seasonality heatmaps—hosted publicly on GitHub Pages.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accuracy—a +16% improvement over baseline architectures.</w:t>
      </w:r>
    </w:p>
    <w:p>
      <w:pPr>
        <w:pStyle w:val="ListBullet"/>
        <w:spacing w:before="0" w:after="40"/>
        <w:ind w:left="360"/>
      </w:pPr>
      <w:r/>
      <w:r>
        <w:rPr>
          <w:sz w:val="21"/>
        </w:rPr>
        <w:t>Applied data augmentation and Multi-Scale Retinex preprocessing to address class imbalance and brightness variation.</w:t>
      </w:r>
    </w:p>
    <w:p>
      <w:pPr>
        <w:pStyle w:val="ListBullet"/>
        <w:spacing w:before="0" w:after="40"/>
        <w:ind w:left="360"/>
      </w:pPr>
      <w:r/>
      <w:r>
        <w:rPr>
          <w:sz w:val="21"/>
        </w:rPr>
        <w:t>Executed GridSearchCV and cross-validation for model robustness, visualising performance with Matplotlib/Seaborn for academic stakeholders.</w:t>
      </w:r>
    </w:p>
    <w:p>
      <w:pPr>
        <w:pStyle w:val="ListBullet"/>
        <w:spacing w:before="0" w:after="40"/>
        <w:ind w:left="360"/>
      </w:pPr>
      <w:r/>
      <w:r>
        <w:rPr>
          <w:sz w:val="21"/>
        </w:rPr>
        <w:t>Presented complex model findings to academic stakeholders, demonstrating effective stakeholder management and communication of technical outcomes.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region-based trends for decision-making.</w:t>
      </w:r>
    </w:p>
    <w:p>
      <w:pPr>
        <w:pStyle w:val="ListBullet"/>
        <w:spacing w:before="0" w:after="40"/>
        <w:ind w:left="360"/>
      </w:pPr>
      <w:r/>
      <w:r>
        <w:rPr>
          <w:sz w:val="21"/>
        </w:rPr>
        <w:t>Ran reproducible ML experiments with Scikit-learn, applying feature engineering and model selection best practices to simulate Customer Lifetime Value (CLV) modelling concepts.</w:t>
      </w:r>
    </w:p>
    <w:p>
      <w:pPr>
        <w:pStyle w:val="ListBullet"/>
        <w:spacing w:before="0" w:after="40"/>
        <w:ind w:left="360"/>
      </w:pPr>
      <w:r/>
      <w:r>
        <w:rPr>
          <w:sz w:val="21"/>
        </w:rPr>
        <w:t>Applied statistical modelling to academic datasets to derive commercial insights, mirroring the analytical rigour required for digital commerce environments.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