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II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II with a strong foundation in machine learning, AI, and applied data science. Expert in deploying agentic LLM pipelines and statistical modeling to solve complex, real-world commercial challenges. Proven track record of translating large-scale datasets into actionable business value through advanced analytics and interactive data visualization. Committed to driving innovation within enterprise automation environments by bridging the gap between cutting-edge research and customer-facing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Data visualization, Statistical modeling,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Keras, CNNs, Predictive modeling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ETL pipelines, Cross-validation, GridSearchCV, pytest, Cloud infrastructure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statistical modeling  ·  predictive modeling  ·  data visualization  ·  ETL pipelines  ·  cross-validation  ·  agentic pipelines  ·  LLM API integration  ·  data-driven solutions  ·  customer-facing technical support  ·  advanced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data, identifying a 141x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scoring of ~50 job postings per run to optimize recruitment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 end-to-end Python pipeline that scrapes ~50 job postings per run, utilizing Google Gemini LLMs for predictive modeling and automated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to ensure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responsive dashboard on Vercel and a 24/7 Telegram bot on Oracle Cloud to provide real-time, data-driven solutions for job search optimization.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advanced statistical modeling on 188 months of NHS England A&amp;E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queries using window functions and CTEs to classify performance trends, revealing that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risk, identifying seasonality and compliance history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data insights via an interactive Chart.js dashboard, visualizing 12-hour waiter spikes and performance trends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and data-driven solutions to academic stakeholders, demonstrating the impact of Multi-Scale Retinex preprocessing on model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