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Data Scientist</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PROFESSIONAL SUMMARY</w:t>
      </w:r>
    </w:p>
    <w:p>
      <w:pPr>
        <w:spacing w:before="0" w:after="40"/>
      </w:pPr>
      <w:r>
        <w:t>Data Scientist specialising in machine learning model development and production deployment for high-stakes risk analytics. Expert in Python and SQL, with a proven track record of building end-to-end ML pipelines and predictive models, including breach risk prediction and agentic LLM systems. Committed to applying rigorous banking model governance standards and MLOps principles to mitigate fraud and enhance operational efficiency. Delivered a 0.90–0.95 ROC-AUC breach risk classifier and a 24/7 production pipeline with 121 automated tests.</w:t>
      </w:r>
    </w:p>
    <w:p>
      <w:pPr>
        <w:keepNext/>
        <w:spacing w:before="200" w:after="40"/>
        <w:pBdr>
          <w:bottom w:val="single" w:sz="6" w:space="1" w:color="808080"/>
        </w:pBdr>
      </w:pPr>
      <w:r>
        <w:rPr>
          <w:b/>
          <w:sz w:val="22"/>
        </w:rPr>
        <w:t>CORE SKILLS</w:t>
      </w:r>
    </w:p>
    <w:p>
      <w:pPr>
        <w:spacing w:before="0" w:after="20"/>
      </w:pPr>
      <w:r>
        <w:rPr>
          <w:b/>
        </w:rPr>
        <w:t xml:space="preserve">Machine Learning: </w:t>
      </w:r>
      <w:r>
        <w:t>Machine learning model development, Production deployment, MLOps principles, Statistical modelling, Scikit-learn, TensorFlow, Keras, CNNs (DenseNet)</w:t>
      </w:r>
    </w:p>
    <w:p>
      <w:pPr>
        <w:spacing w:before="0" w:after="20"/>
      </w:pPr>
      <w:r>
        <w:rPr>
          <w:b/>
        </w:rPr>
        <w:t xml:space="preserve">Languages: </w:t>
      </w:r>
      <w:r>
        <w:t>Python, SQL, JavaScript/TypeScript</w:t>
      </w:r>
    </w:p>
    <w:p>
      <w:pPr>
        <w:spacing w:before="0" w:after="20"/>
      </w:pPr>
      <w:r>
        <w:rPr>
          <w:b/>
        </w:rPr>
        <w:t xml:space="preserve">Data &amp; BI: </w:t>
      </w:r>
      <w:r>
        <w:t>Power BI, Tableau, Pandas, NumPy, DAX, Power Query</w:t>
      </w:r>
    </w:p>
    <w:p>
      <w:pPr>
        <w:spacing w:before="0" w:after="20"/>
      </w:pPr>
      <w:r>
        <w:rPr>
          <w:b/>
        </w:rPr>
        <w:t xml:space="preserve">Cloud &amp; DB: </w:t>
      </w:r>
      <w:r>
        <w:t>Oracle Cloud, AWS S3, Azure, Snowflake</w:t>
      </w:r>
    </w:p>
    <w:p>
      <w:pPr>
        <w:spacing w:before="0" w:after="20"/>
      </w:pPr>
      <w:r>
        <w:rPr>
          <w:b/>
        </w:rPr>
        <w:t xml:space="preserve">Tools &amp; Methods: </w:t>
      </w:r>
      <w:r>
        <w:t>Banking model governance standards, Feature engineering, pytest, Agentic pipelines, Web scraping</w:t>
      </w:r>
    </w:p>
    <w:p>
      <w:pPr>
        <w:keepNext/>
        <w:spacing w:before="200" w:after="40"/>
        <w:pBdr>
          <w:bottom w:val="single" w:sz="6" w:space="1" w:color="808080"/>
        </w:pBdr>
      </w:pPr>
      <w:r>
        <w:rPr>
          <w:b/>
          <w:sz w:val="22"/>
        </w:rPr>
        <w:t>CORE COMPETENCIES</w:t>
      </w:r>
    </w:p>
    <w:p>
      <w:pPr>
        <w:spacing w:before="0" w:after="40"/>
      </w:pPr>
      <w:r>
        <w:t>Fraud and risk mitigation  ·  Banking model governance standards  ·  Real-time transaction analytics  ·  Predictive modelling  ·  Model evaluation  ·  Automated testing  ·  Data storytelling</w:t>
      </w:r>
    </w:p>
    <w:p>
      <w:pPr>
        <w:keepNext/>
        <w:spacing w:before="200" w:after="40"/>
        <w:pBdr>
          <w:bottom w:val="single" w:sz="6" w:space="1" w:color="808080"/>
        </w:pBdr>
      </w:pPr>
      <w:r>
        <w:rPr>
          <w:b/>
          <w:sz w:val="22"/>
        </w:rPr>
        <w:t>IMPACT HIGHLIGHTS</w:t>
      </w:r>
    </w:p>
    <w:p>
      <w:pPr>
        <w:pStyle w:val="ListBullet"/>
        <w:spacing w:before="0" w:after="40"/>
        <w:ind w:left="360"/>
      </w:pPr>
      <w:r/>
      <w:r>
        <w:rPr>
          <w:sz w:val="21"/>
        </w:rPr>
        <w:t>% accuracy in wildfire detection (+16% vs baseline)</w:t>
      </w:r>
    </w:p>
    <w:p>
      <w:pPr>
        <w:pStyle w:val="ListBullet"/>
        <w:spacing w:before="0" w:after="40"/>
        <w:ind w:left="360"/>
      </w:pPr>
      <w:r/>
      <w:r>
        <w:rPr>
          <w:sz w:val="21"/>
        </w:rPr>
        <w:t>–0.95 ROC-AUC for breach risk prediction</w:t>
      </w:r>
    </w:p>
    <w:p>
      <w:pPr>
        <w:pStyle w:val="ListBullet"/>
        <w:spacing w:before="0" w:after="40"/>
        <w:ind w:left="360"/>
      </w:pPr>
      <w:r/>
      <w:r>
        <w:rPr>
          <w:sz w:val="21"/>
        </w:rPr>
        <w:t>automated unit tests for production reliability</w:t>
      </w:r>
    </w:p>
    <w:p>
      <w:pPr>
        <w:pStyle w:val="ListBullet"/>
        <w:spacing w:before="0" w:after="40"/>
        <w:ind w:left="360"/>
      </w:pPr>
      <w:r/>
      <w:r>
        <w:rPr>
          <w:sz w:val="21"/>
        </w:rPr>
        <w:t>Analysis of 188 months of performance data</w:t>
      </w:r>
    </w:p>
    <w:p>
      <w:pPr>
        <w:pStyle w:val="ListBullet"/>
        <w:spacing w:before="0" w:after="40"/>
        <w:ind w:left="360"/>
      </w:pPr>
      <w:r/>
      <w:r>
        <w:rPr>
          <w:sz w:val="21"/>
        </w:rPr>
        <w:t>/7 production deployment on Oracle Cloud</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that scrapes ~50 job postings per run, using Google Gemini LLMs to score and rank matches for automated outreach.</w:t>
      </w:r>
    </w:p>
    <w:p>
      <w:pPr>
        <w:pStyle w:val="ListBullet"/>
        <w:spacing w:before="0" w:after="40"/>
        <w:ind w:left="360"/>
      </w:pPr>
      <w:r/>
      <w:r>
        <w:rPr>
          <w:sz w:val="21"/>
        </w:rPr>
        <w:t>Engineered an agentic quality-gate loop that iterates AI-tailored resumes until clearing an 85% ATS match threshold, ensuring high-quality output.</w:t>
      </w:r>
    </w:p>
    <w:p>
      <w:pPr>
        <w:pStyle w:val="ListBullet"/>
        <w:spacing w:before="0" w:after="40"/>
        <w:ind w:left="360"/>
      </w:pPr>
      <w:r/>
      <w:r>
        <w:rPr>
          <w:sz w:val="21"/>
        </w:rPr>
        <w:t>Implemented MLOps principles including rate-limiting, exponential-backoff retries, and multi-model failover to ensure production reliability for 24/7 uptime.</w:t>
      </w:r>
    </w:p>
    <w:p>
      <w:pPr>
        <w:pStyle w:val="ListBullet"/>
        <w:spacing w:before="0" w:after="40"/>
        <w:ind w:left="360"/>
      </w:pPr>
      <w:r/>
      <w:r>
        <w:rPr>
          <w:sz w:val="21"/>
        </w:rPr>
        <w:t>Authored 121 automated unit tests using pytest to validate pipeline integrity and maintain standardized workflows, mirroring production-grade model governance.</w:t>
      </w:r>
    </w:p>
    <w:p>
      <w:pPr>
        <w:pStyle w:val="ListBullet"/>
        <w:spacing w:before="0" w:after="40"/>
        <w:ind w:left="360"/>
      </w:pPr>
      <w:r/>
      <w:r>
        <w:rPr>
          <w:sz w:val="21"/>
        </w:rPr>
        <w:t>Deployed a 24/7 production application on an Oracle Cloud VM, featuring a responsive Next.js dashboard for real-time monitoring.</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Analysed 188 months of real NHS England A&amp;E performance data to identify drivers of performance breaches, applying statistical modelling to reveal that the 95% target was met in only 55 of 188 months (29%).</w:t>
      </w:r>
    </w:p>
    <w:p>
      <w:pPr>
        <w:pStyle w:val="ListBullet"/>
        <w:spacing w:before="0" w:after="40"/>
        <w:ind w:left="360"/>
      </w:pPr>
      <w:r/>
      <w:r>
        <w:rPr>
          <w:sz w:val="21"/>
        </w:rPr>
        <w:t>Wrote advanced SQL queries using window functions (LAG, AVG OVER), CTEs, and CASE logic to classify performance status, identifying a 51-month consecutive crisis streak.</w:t>
      </w:r>
    </w:p>
    <w:p>
      <w:pPr>
        <w:pStyle w:val="ListBullet"/>
        <w:spacing w:before="0" w:after="40"/>
        <w:ind w:left="360"/>
      </w:pPr>
      <w:r/>
      <w:r>
        <w:rPr>
          <w:sz w:val="21"/>
        </w:rPr>
        <w:t>Developed a Random Forest classifier for monthly breach risk prediction, achieving 0.90–0.95 ROC-AUC by defining features such as rolling 3-month compliance history.</w:t>
      </w:r>
    </w:p>
    <w:p>
      <w:pPr>
        <w:pStyle w:val="ListBullet"/>
        <w:spacing w:before="0" w:after="40"/>
        <w:ind w:left="360"/>
      </w:pPr>
      <w:r/>
      <w:r>
        <w:rPr>
          <w:sz w:val="21"/>
        </w:rPr>
        <w:t>Delivered an interactive Power BI dashboard to visualize compliance trends and seasonality, effectively communicating insights to stakeholders with attention to detail.</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image classification using DenseNet-based CNNs on 2,700+ high-resolution images, achieving 98.84% accuracy—a +16% improvement over baseline architectures.</w:t>
      </w:r>
    </w:p>
    <w:p>
      <w:pPr>
        <w:pStyle w:val="ListBullet"/>
        <w:spacing w:before="0" w:after="40"/>
        <w:ind w:left="360"/>
      </w:pPr>
      <w:r/>
      <w:r>
        <w:rPr>
          <w:sz w:val="21"/>
        </w:rPr>
        <w:t>Applied GridSearchCV and cross-validation to ensure model robustness and adherence to best practices in machine learning development.</w:t>
      </w:r>
    </w:p>
    <w:p>
      <w:pPr>
        <w:pStyle w:val="ListBullet"/>
        <w:spacing w:before="0" w:after="40"/>
        <w:ind w:left="360"/>
      </w:pPr>
      <w:r/>
      <w:r>
        <w:rPr>
          <w:sz w:val="21"/>
        </w:rPr>
        <w:t>Presented complex model performance results to academic stakeholders using Matplotlib and Seaborn to craft a clear narrative through data.</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