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SF Technology Partners. As a British citizen with a background in R&amp;D and full-stack development, I have spent the last year building production-grade AI systems that bridge the gap between complex data analysis and actionable, market-leading solutions. My technical toolkit includes Python, PyTorch, TensorFlow, and LlamaCPP, complemented by experience in managing PostgreSQL, MongoDB, and CosmosDB databases.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AI pipeline that scrapes 50+ job postings per run and utilizes agentic LLM workflows to generate high-quality, tailored outputs. By implementing a rigorous quality-gate loop, I ensured that every output met an 85%+ ATS match threshold, demonstrating my focus on delivering reliable, production-ready code. My wildfire detection project further highlights my ability to handle large-scale data, where I achieved 98.84% accuracy by applying advanced preprocessing and model optimization techniques, resulting in a 16% performance improvement over the baseline.</w:t>
      </w:r>
    </w:p>
    <w:p>
      <w:pPr>
        <w:spacing w:before="0" w:after="160" w:line="276" w:lineRule="auto"/>
      </w:pPr>
      <w:r>
        <w:rPr>
          <w:sz w:val="21"/>
        </w:rPr>
        <w:t>I am particularly drawn to SF Technology Partners because of your focus on national security innovation and your collaborative, autonomous culture. I thrive in R&amp;D environments where I can take ownership of the full development lifecycle—from initial data ingestion and model training to cloud deployment on AWS. I am eager to bring my experience in building scalable, automated systems to your team and contribute to the high-growth trajectory of your business.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for an interview at your convenience to discuss how my technical skills and project experience can support your team's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