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 Master’s in Computer Science and 2+ years of experience building and deploying production-grade ML solutions. Expert in designing end-to-end ML pipelines, RAG architectures, and agentic AI systems using Python, TensorFlow, and FastAPI. Proven track record in MLOps, Databricks, and Azure Machine Learning, highlighted by a 98.84% accuracy rate in production-ready wildfire detection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Agentic AI, RAG architectures, LangChain, LangGraph, CrewAI, TensorFlow, Scikit-learn, Model evaluation, Feature engineering</w:t>
      </w:r>
    </w:p>
    <w:p>
      <w:pPr>
        <w:spacing w:before="0" w:after="20"/>
      </w:pPr>
      <w:r>
        <w:rPr>
          <w:b/>
        </w:rPr>
        <w:t xml:space="preserve">Cloud &amp; Data Platforms: </w:t>
      </w:r>
      <w:r>
        <w:t>Azure Machine Learning, Databricks, Microsoft Azure, AWS, Snowflake, Oracle Cloud VM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SQL, TypeScript, C, C++, Java</w:t>
      </w:r>
    </w:p>
    <w:p>
      <w:pPr>
        <w:spacing w:before="0" w:after="20"/>
      </w:pPr>
      <w:r>
        <w:rPr>
          <w:b/>
        </w:rPr>
        <w:t xml:space="preserve">Tools &amp; Methods: </w:t>
      </w:r>
      <w:r>
        <w:t>FastAPI, MLOps, MLflow, Weights &amp; Biases, pytest, CI/CD, Web Scraping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 deployment  ·  End-to-end ML solutions  ·  Financial Services, Manufacturing, Energy &amp; Utilities domain knowledge  ·  Agentic AI systems  ·  Data pipelines  ·  Hyperparameter tuning  ·  Technical consulting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wildfire detection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choice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end-to-end Python pipeline that scrapes ~50 job postings per run, integrating Google Gemini LLMs and RAG architectures to automate complex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(utilizing LangChain/CrewAI principles) that re-scores AI-generated outputs, iterating until achieving an 85%+ ATS match threshold for production-grade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practices including rate-limiting, exponential-backoff retries, and multi-model failover to ensure 24/7 production reliability on Oracle Cloud VM.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production-grade APIs using FastAPI to integrate ML capabilities, supported by 121 automated unit tests using pytest.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technology insights by building interactive data dashboards in Tableau to support strategic decision-making for Financial Services clients.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classification and business analysis using Excel to surface actionable trends, simulating real-world commercial enterprise requirements for 100% of assigned tasks.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complex data from 10-K and 10-Q reports, employing RAG architecture principles to provide accurate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large-scale data manipulation and feature engineering to support financial modeling requirements for Manufacturing and Energy sector simulations.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a production web application and implemented technical fixes to improve system stability by 20%.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development workflows to plan future improvements and ensure code quality in a commercial environment.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Multi-Scale Retinex preprocessing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architecture choice and data augmentation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MLOps practices (MLflow/Weights &amp; Biases) by tracking experiments and model versions to ensure reproducibility and production readiness.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 for 5+ simulated business units.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best practices in feature engineering and model selection for commercial-style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