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III with a strong background in Python, SQL, and advanced analytical modeling. Expert in building scalable dashboards and automated data pipelines to drive strategic decision-making. Proven track record of framing ambiguous business problems into structured analytical questions and delivering high-impact, statistically sound insights. Committed to improving analytical standards and fostering data-driven culture through rigorous documentation and stakeholder engagement.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Excel (Advanced)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Analytical Modeling, Dashboard Design, Automation, pytest,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Analytical Modeling  ·  Stakeholder Management  ·  Data Governance  ·  Statistical Methods  ·  Problem Solving  ·  Data Interpretation  ·  Process Improvement  ·  Cross-team Collaboration  ·  Requirement Gathering  · 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for automated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analytical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Framed complex analytical problems by building an end-to-end Python pipeline that processes 50+ job postings per run to deliver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analytical outputs until they meet an 85%+ match threshold, ensuring high-quality, decision-ready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analytical processes by implementing production-grade reliability, including rate-limiting,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analytical consistency and robust validation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responsive Next.js dashboard to visualize data-driven outputs, supporting efficient decision-making and performance tracking.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high-impact forensic insights by creating a comprehensive data dashboard using Tableau.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 and draw business conclusions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analytical outputs were consistent and trusted by performing rigorous data interpretation and forensic analysis.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analytical models using Python and pandas to manipulate financial datasets and support data-led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Refined analytical modeling practices by employing rule-based logic to ensure consistent and accurate financial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complex bugs in web applications, improving analytical standards and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by reviewing application performance and aligning technical fixes with business logic.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design and delivery of an end-to-end ML pipeline, achieving 98.84% accuracy vs baseline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analytical trade-offs and performance metrics to stakeholders using Matplotlib and Seaborn visualizations.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analytical modeling practices by applying GridSearchCV and cross-validation to ensure robust, statistically sound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 refine SQL queries and document analysis workflows, increasing iteration speed and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ensure consistent analytical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