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06 July 2026</w:t>
      </w:r>
    </w:p>
    <w:p>
      <w:pPr>
        <w:spacing w:before="0" w:after="160" w:line="276" w:lineRule="auto"/>
      </w:pPr>
      <w:r>
        <w:rPr>
          <w:sz w:val="21"/>
        </w:rPr>
        <w:t>Dear Flutter UK&amp;I team,</w:t>
      </w:r>
    </w:p>
    <w:p>
      <w:pPr>
        <w:spacing w:before="0" w:after="160" w:line="276" w:lineRule="auto"/>
      </w:pPr>
      <w:r>
        <w:rPr>
          <w:sz w:val="21"/>
        </w:rPr>
        <w:t>Your commitment to delivering market-leading entertainment through data-driven innovation at brands like Sky Betting and Gaming is what drew me to this Data Science role. I am particularly impressed by how your team integrates complex analytics into the customer experience, and I am eager to bring my technical background in machine learning and predictive modeling to the Customer Super Tribe.</w:t>
      </w:r>
    </w:p>
    <w:p>
      <w:pPr>
        <w:spacing w:before="0" w:after="160" w:line="276" w:lineRule="auto"/>
      </w:pPr>
      <w:r>
        <w:rPr>
          <w:sz w:val="21"/>
        </w:rPr>
        <w:t>In my recent work analyzing 188 months of NHS performance data, I developed a Random Forest classifier that achieved a 0.90–0.95 ROC-AUC. By utilizing SQL window functions and time series analysis, I was able to identify the specific drivers behind performance breaches, transforming raw data into clear, actionable insights. This experience in handling large datasets and communicating findings through interactive visualizations mirrors the analytical rigor required to solve the domain-specific challenges at Flutter.</w:t>
      </w:r>
    </w:p>
    <w:p>
      <w:pPr>
        <w:spacing w:before="0" w:after="160" w:line="276" w:lineRule="auto"/>
      </w:pPr>
      <w:r>
        <w:rPr>
          <w:sz w:val="21"/>
        </w:rPr>
        <w:t>Beyond predictive modeling, I have extensive experience in building and deploying production-grade pipelines. My recent agentic AI project involved creating a system that iterates to an 85% success threshold, supported by 121 automated unit tests. I prioritize high standards of code quality and documentation, ensuring that my models are not only accurate but also scalable and maintainable within a cross-functional environment.</w:t>
      </w:r>
    </w:p>
    <w:p>
      <w:pPr>
        <w:spacing w:before="0" w:after="160" w:line="276" w:lineRule="auto"/>
      </w:pPr>
      <w:r>
        <w:rPr>
          <w:sz w:val="21"/>
        </w:rPr>
        <w:t>I am excited about the possibility of contributing to your team’s groundbreaking work and would welcome the opportunity to discuss how my expertise in Python, SQL, and machine learning can help solve the unique challenges faced by your brands. Thank you for your time and consideration.</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