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06 July 2026</w:t>
      </w:r>
    </w:p>
    <w:p>
      <w:pPr>
        <w:spacing w:before="0" w:after="160" w:line="276" w:lineRule="auto"/>
      </w:pPr>
      <w:r>
        <w:rPr>
          <w:sz w:val="21"/>
        </w:rPr>
        <w:t>Dear Prism Digital team,</w:t>
      </w:r>
    </w:p>
    <w:p>
      <w:pPr>
        <w:spacing w:before="0" w:after="160" w:line="276" w:lineRule="auto"/>
      </w:pPr>
      <w:r>
        <w:rPr>
          <w:sz w:val="21"/>
        </w:rPr>
        <w:t>Your approach to AI at Prism Digital stands out because you treat it as a core engineering challenge rather than a peripheral strategy exercise. I am an AI Engineer who builds, tests, and deploys, and I am looking for a role where I can embed with teams to solve immediate, high-impact problems. I am ready to relocate to Cheshire to contribute to your mission of transforming cybersecurity software from the inside out.</w:t>
      </w:r>
    </w:p>
    <w:p>
      <w:pPr>
        <w:spacing w:before="0" w:after="160" w:line="276" w:lineRule="auto"/>
      </w:pPr>
      <w:r>
        <w:rPr>
          <w:sz w:val="21"/>
        </w:rPr>
        <w:t>In my recent work, I built an end-to-end agentic LLM pipeline that automates complex workflows. I didn't just build the model; I engineered a quality-gate loop that iterates content until it hits an 85% ATS-match threshold, ensuring the output is production-ready. I also integrated multi-model failover and 121 automated unit tests to ensure the system remains reliable 24/7. This experience in building for reliability and measurable outcomes is exactly what I want to bring to your roving engineering team.</w:t>
      </w:r>
    </w:p>
    <w:p>
      <w:pPr>
        <w:spacing w:before="0" w:after="160" w:line="276" w:lineRule="auto"/>
      </w:pPr>
      <w:r>
        <w:rPr>
          <w:sz w:val="21"/>
        </w:rPr>
        <w:t>Beyond agentic builds, I have a strong foundation in data-driven decision-making. For my NHS A&amp;E performance project, I used advanced SQL window functions and Random Forest classifiers to identify the drivers of 4-hour target breaches, achieving 0.95 ROC-AUC. Whether I am working with legal, ops, or support teams, I focus on identifying the friction points and shipping a tool that makes the work easier by the end of the fortnight.</w:t>
      </w:r>
    </w:p>
    <w:p>
      <w:pPr>
        <w:spacing w:before="0" w:after="160" w:line="276" w:lineRule="auto"/>
      </w:pPr>
      <w:r>
        <w:rPr>
          <w:sz w:val="21"/>
        </w:rPr>
        <w:t>I am drawn to your culture of high autonomy and the mandate to move fast. I have an artefact trail of my work on GitHub and would love to walk you through how I approach agentic workflow design and model evaluation. Are you available for a brief conversation next week to discuss how I can contribute to your AI-first roadmap?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