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06 July 2026</w:t>
      </w:r>
    </w:p>
    <w:p>
      <w:pPr>
        <w:spacing w:before="0" w:after="160" w:line="276" w:lineRule="auto"/>
      </w:pPr>
      <w:r>
        <w:rPr>
          <w:sz w:val="21"/>
        </w:rPr>
        <w:t>I am writing to apply for the AI/ML Engineer position at Talent Locker. Having followed your work in scaling enterprise AI, I am impressed by your commitment to moving beyond proof-of-concepts into secure, production-ready solutions. My technical background is centered on building the exact type of agentic AI workflows and LLM pipelines your team is currently scaling.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automation platform that functions as a production-grade agentic system. By integrating LangChain and LangGraph, I built a pipeline that handles prompt orchestration and tool-calling patterns to deliver high-quality, ATS-optimized outputs. I prioritized system reliability by implementing 121 automated unit tests and multi-model failover, ensuring the system remains stable in a 24/7 production environment. This experience has given me a practical understanding of the challenges involved in moving AI from experimentation to a scalable, governed product.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of your focus on the Azure AI stack. I have been building my expertise in Azure Machine Learning and Azure AI Foundry, and I am eager to apply these tools to your global organization's data challenges. Whether it is optimizing RAG architectures or managing the lifecycle of machine learning models, I enjoy the engineering rigor required to deliver real business value. I am comfortable working alongside platform and data engineers to ensure that our AI solutions are not only innovative but also secure and maintainable.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contributing to the AI initiatives at Talent Locker and would welcome the chance to discuss how my experience with production-scale AI pipelines can help your team achieve its objectives.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