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06 July 2026</w:t>
      </w:r>
    </w:p>
    <w:p>
      <w:pPr>
        <w:spacing w:before="0" w:after="160" w:line="276" w:lineRule="auto"/>
      </w:pPr>
      <w:r>
        <w:rPr>
          <w:sz w:val="21"/>
        </w:rPr>
        <w:t>Dear Oho Group team,</w:t>
      </w:r>
    </w:p>
    <w:p>
      <w:pPr>
        <w:spacing w:before="0" w:after="160" w:line="276" w:lineRule="auto"/>
      </w:pPr>
      <w:r>
        <w:rPr>
          <w:sz w:val="21"/>
        </w:rPr>
        <w:t>Building AI systems that move from prototype to production is a challenge I have spent the last two years mastering. Your mission to solve real-world problems through AI resonates with my own approach to engineering, where I prioritize reliability, scalability, and measurable impact over theoretical complexity. I am not just looking for a role; I am looking to apply my experience in building agentic LLM pipelines to help shape the technology and culture of a high-growth start-up from the ground up.</w:t>
      </w:r>
    </w:p>
    <w:p>
      <w:pPr>
        <w:spacing w:before="0" w:after="160" w:line="276" w:lineRule="auto"/>
      </w:pPr>
      <w:r>
        <w:rPr>
          <w:sz w:val="21"/>
        </w:rPr>
        <w:t>In my recent work, I engineered an end-to-end automation platform that utilizes Google Gemini LLMs to score and tailor content. To ensure production-grade reliability, I implemented an agentic quality-gate loop that iterates until an 85% ATS match threshold is met, supported by 121 automated unit tests and multi-model failover. This project, which I deployed 24/7 on Oracle Cloud, demonstrates my ability to own the full lifecycle of an AI product—from initial architecture to deployment and monitoring.</w:t>
      </w:r>
    </w:p>
    <w:p>
      <w:pPr>
        <w:spacing w:before="0" w:after="160" w:line="276" w:lineRule="auto"/>
      </w:pPr>
      <w:r>
        <w:rPr>
          <w:sz w:val="21"/>
        </w:rPr>
        <w:t>Beyond LLMs, I bring a rigorous approach to data analysis, evidenced by my investigation into NHS A&amp;E performance. By utilizing advanced SQL window functions and Random Forest classifiers, I identified the drivers behind long-term performance trends, achieving a 0.90–0.95 ROC-AUC. This combination of deep learning expertise and analytical rigor allows me to build systems that are not only technically sophisticated but also deeply aligned with business outcomes.</w:t>
      </w:r>
    </w:p>
    <w:p>
      <w:pPr>
        <w:spacing w:before="0" w:after="160" w:line="276" w:lineRule="auto"/>
      </w:pPr>
      <w:r>
        <w:rPr>
          <w:sz w:val="21"/>
        </w:rPr>
        <w:t>I am comfortable in the chaos of early-stage development and thrive when working directly with founders to solve complex, ambiguous problems. I would welcome the opportunity to discuss how my technical background and hands-on experience with LLM deployment can support Oho Group’s growth. Please let me know if you have time for a brief conversation.</w:t>
      </w:r>
    </w:p>
    <w:p>
      <w:pPr>
        <w:spacing w:before="0" w:after="160" w:line="276" w:lineRule="auto"/>
      </w:pPr>
      <w:r>
        <w:rPr>
          <w:sz w:val="21"/>
        </w:rPr>
        <w:t>Best regards,</w:t>
      </w:r>
    </w:p>
    <w:p>
      <w:pPr>
        <w:spacing w:before="0" w:after="160" w:line="276" w:lineRule="auto"/>
      </w:pPr>
      <w:r>
        <w:rPr>
          <w:sz w:val="21"/>
        </w:rPr>
        <w:t>Sohan Kusuma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