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strong foundation in machine learning and predictive modelling, eager to contribute to Allica Bank’s Autonomous Lending Tribe. Passionate about applying AI and data-driven insights to solve complex financial challenges and improve lending outcomes for SMEs.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Large Language Models, Generative AI, Prompt Engineering, Agentic Pipelines, Scikit-learn, TensorFlow</w:t>
      </w:r>
    </w:p>
    <w:p>
      <w:pPr>
        <w:spacing w:before="0" w:after="20"/>
      </w:pPr>
      <w:r>
        <w:rPr>
          <w:b/>
        </w:rPr>
        <w:t xml:space="preserve">Software Engineering: </w:t>
      </w:r>
      <w:r>
        <w:t>Python, Next.js, React.js, pytest, Git, API Integration</w:t>
      </w:r>
    </w:p>
    <w:p>
      <w:pPr>
        <w:spacing w:before="0" w:after="20"/>
      </w:pPr>
      <w:r>
        <w:rPr>
          <w:b/>
        </w:rPr>
        <w:t xml:space="preserve">Data &amp; Cloud: </w:t>
      </w:r>
      <w:r>
        <w:t>SQL, Oracle Cloud, AWS, Azure, Power BI, Pandas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to identify critical drivers of the 4-hour waiting time target collapse, providing actionable insights for operational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(0.90–0.95 ROC-AUC) to predict monthly breach risk, enabling stakeholders to proactively identify periods of high service pressure.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advanced SQL window functions and CTEs to transform raw performance logs into a structured dataset, revealing that the NHS met its 95% target in only 29% of observed months.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training DenseNet CNNs on 2,700+ images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support data-driven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