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machine learning and applied AI engineering. Built and deployed a production-grade DenseNet CNN achieving 98.84% accuracy for wildfire detection and a SQL-driven NHS A&amp;E performance analytics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Keras, Scikit-learn, CNNs (DenseNet), Model evaluation, Cross-validation, Statistics, Linear Algebra</w:t>
      </w:r>
    </w:p>
    <w:p>
      <w:pPr>
        <w:spacing w:before="0" w:after="20"/>
      </w:pPr>
      <w:r>
        <w:rPr>
          <w:b/>
        </w:rPr>
        <w:t xml:space="preserve">Data Engineering &amp; Cloud: </w:t>
      </w:r>
      <w:r>
        <w:t>Python, SQL, Data pipelines, APIs, Oracle Cloud, AWS S3, pytest</w:t>
      </w:r>
    </w:p>
    <w:p>
      <w:pPr>
        <w:spacing w:before="0" w:after="20"/>
      </w:pPr>
      <w:r>
        <w:rPr>
          <w:b/>
        </w:rPr>
        <w:t xml:space="preserve">Analytics &amp; Tools: </w:t>
      </w:r>
      <w:r>
        <w:t>Pandas, NumPy, Power BI, Tableau,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utilizing feature engineering and rolling 3-month compliance history.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optimization and robustness.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