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specializing in machine learning, predictive modeling, and high-frequency transactional data analysis. Passionate about applying advanced statistical techniques to the betting and gaming domain to solve complex business problems and drive actionable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machine learning, predictive models, time series analysis, classification, clustering, feature engineering</w:t>
      </w:r>
    </w:p>
    <w:p>
      <w:pPr>
        <w:spacing w:before="0" w:after="20"/>
      </w:pPr>
      <w:r>
        <w:rPr>
          <w:b/>
        </w:rPr>
        <w:t xml:space="preserve">Languages &amp; Tools: </w:t>
      </w:r>
      <w:r>
        <w:t>Python, SQL, TensorFlow, Scikit-learn, Power BI, Tableau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deployment, pytest, Oracle Cloud, AWS, CI/CD,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time series analysis that predicts monthly breach risk with 0.90–0.95 ROC-AUC, utilizing rolling 3-month compliance history as a key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queries with window functions and CTEs to process 188 months of performance data, identifying that the NHS met its 95% target in only 29% of observed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interactive Chart.js visualisations to communicate complex seasonality heatmaps and 12-hour waiter spikes to stakeholders, facilitating data-driven understanding of performance trends.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deep learning classification model using DenseNet that achieved 98.84% accuracy on 2,700+ images, representing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Multi-Scale Retinex preprocessing and data augmentation to mitigate brightness variation and class imbalance, ensuring model robustness.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regional trends, resulting in a 20% reduction in reporting time for decision-makers.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focusing on feature engineering and model selection best practices to improve predictive accuracy by 15%.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