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agentic architectures and production-grade LLM pipelines for complex document understanding. Committed to delivering legal-grade precision through robust RAG systems and rigorous evaluation frameworks.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LLM API integration, RAG architectures, Google Gemini, TensorFlow, Scikit-learn, CNNs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Oracle Cloud, AWS S3, pytest, Next.js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Power BI, data modelling,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 trends across 188 months of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breach risk with 0.90–0.95 ROC-AUC, identifying key predictive features for performance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performance consistency.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improve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