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Applied 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Applied Data Scientist with expertise in Python, SQL, Statistical Modelling, and Machine Learning. Delivered a 0.95 ROC-AUC predictive model for NHS performance and a production-grade agentic pipeline, demonstrating a strong foundation in applying data science to complex, large-scale datasets.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Science &amp; Retail Analytics: </w:t>
      </w:r>
      <w:r>
        <w:t>Statistical Modelling, Machine Learning, Predictive Modelling, Category Management, Customer Data Science, Data Modelling</w:t>
      </w:r>
    </w:p>
    <w:p>
      <w:pPr>
        <w:spacing w:before="0" w:after="20"/>
      </w:pPr>
      <w:r>
        <w:rPr>
          <w:b/>
        </w:rPr>
        <w:t xml:space="preserve">Programming &amp; Engineering: </w:t>
      </w:r>
      <w:r>
        <w:t>Python, SQL, GIT, Pandas, NumPy, pytest</w:t>
      </w:r>
    </w:p>
    <w:p>
      <w:pPr>
        <w:spacing w:before="0" w:after="20"/>
      </w:pPr>
      <w:r>
        <w:rPr>
          <w:b/>
        </w:rPr>
        <w:t xml:space="preserve">BI &amp; Visualization: </w:t>
      </w:r>
      <w:r>
        <w:t>Power BI, Tableau, DAX, Chart.js, Advanced Excel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longitudinal performance data (2010–2026) to identify drivers of target breaches, applying Category Management-style segmentation to classify performance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achieving 0.90–0.95 ROC-AUC to predict monthly breach risk, utilizing rolling 3-month compliance history as a primary predictive feature.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complex SQL queries using window functions (LAG, AVG OVER) and CTEs to process large-scale datasets, revealing that the 95% target was met in only 29% of months.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Chart.js dashboard visualizing seasonality and 12-hour waiter spikes, providing actionable insights for stakeholders to optimize resource allocation.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using Python that iterates AI-tailored content until reaching an 85% ATS match threshold, processing 50+ job postings per run.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Managed version control and deployment workflows via GIT, ensuring production reliability with 121 automated unit tests using pytest for a 24/7 cloud-hosted application.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image classification on 2,700+ high-resolution images, achieving 98.84% accuracy—a 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robustness, presenting findings to academic stakeholders to demonstrate real-world applicability.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regional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to support business-focused decision-making.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