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Research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the design and deployment of agentic AI systems and LLM-powered applications. Proven ability to bridge the gap between research-driven predictive modeling and production-grade enterprise data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agentic AI systems, LLM-powered applications, predictive modeling, prompt engineering, TensorFlow, Scikit-learn</w:t>
      </w:r>
    </w:p>
    <w:p>
      <w:pPr>
        <w:spacing w:before="0" w:after="20"/>
      </w:pPr>
      <w:r>
        <w:rPr>
          <w:b/>
        </w:rPr>
        <w:t xml:space="preserve">Data &amp; Enterprise Systems: </w:t>
      </w:r>
      <w:r>
        <w:t>SQL, SAP HANA, DB2, SQL Server, Python, Node.js, Pandas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cloud environments, Oracle Cloud, AWS, Azure, Next.js,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 and iterates until clearing an 85% ATS match threshold for production-ready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using Google Gemini LLMs to automate complex workflows, scraping ~50 job postings per run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for agentic systems by implementing multi-model failover,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robustness through 121 automated unit tests (pytest) and deployed 24/7 on Oracle Cloud infrastructure.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enterprise-scale performance data, applying advanced SQL (window functions, CTEs) to identify a 51-month 'Crisis'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predictive model for breach risk, achieving 0.90–0.95 ROC-AUC by leveraging rolling 3-month compliance history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Mapped complex performance metrics to enterprise-grade database structures, mirroring schemas found in SAP HANA, DB2, and SQL Server environments.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using DenseNet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through GridSearchCV, cross-validation, and Multi-Scale Retinex preprocessing to handle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