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MSc Computer Science graduate with a focus on engineering rigorous, scalable data pipelines and predictive systems that drive business efficiency. Proven track record of collaborating with stakeholders to transform complex datasets into actionable performance insights and robust, production-ready analytical tools.</w:t>
      </w:r>
    </w:p>
    <w:p>
      <w:pPr>
        <w:keepNext/>
        <w:spacing w:before="200" w:after="40"/>
        <w:pBdr>
          <w:bottom w:val="single" w:sz="6" w:space="1" w:color="808080"/>
        </w:pBdr>
      </w:pPr>
      <w:r>
        <w:rPr>
          <w:b/>
          <w:sz w:val="22"/>
        </w:rPr>
        <w:t>CORE SKILLS</w:t>
      </w:r>
    </w:p>
    <w:p>
      <w:pPr>
        <w:spacing w:before="0" w:after="20"/>
      </w:pPr>
      <w:r>
        <w:rPr>
          <w:b/>
        </w:rPr>
        <w:t xml:space="preserve">Engineering &amp; Scalability: </w:t>
      </w:r>
      <w:r>
        <w:t>Python, SQL, pytest, ETL pipelines, Data modelling, Oracle Cloud, AWS S3, Azure</w:t>
      </w:r>
    </w:p>
    <w:p>
      <w:pPr>
        <w:spacing w:before="0" w:after="20"/>
      </w:pPr>
      <w:r>
        <w:rPr>
          <w:b/>
        </w:rPr>
        <w:t xml:space="preserve">Data Science &amp; Analytics: </w:t>
      </w:r>
      <w:r>
        <w:t>Scikit-learn, TensorFlow, Keras, Predictive modeling, Cross-validation, CNNs</w:t>
      </w:r>
    </w:p>
    <w:p>
      <w:pPr>
        <w:spacing w:before="0" w:after="20"/>
      </w:pPr>
      <w:r>
        <w:rPr>
          <w:b/>
        </w:rPr>
        <w:t xml:space="preserve">BI &amp; Reporting: </w:t>
      </w:r>
      <w:r>
        <w:t>Power BI, DAX, Pandas, NumPy, Chart.js, Tableau</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Collaborated with domain stakeholders to investigate the long-term decline in A&amp;E performance, identifying critical drivers behind 51 consecutive months of target breaches.</w:t>
      </w:r>
    </w:p>
    <w:p>
      <w:pPr>
        <w:pStyle w:val="ListBullet"/>
        <w:spacing w:before="0" w:after="40"/>
        <w:ind w:left="360"/>
      </w:pPr>
      <w:r/>
      <w:r>
        <w:rPr>
          <w:sz w:val="21"/>
        </w:rPr>
        <w:t>Engineered a scalable SQL-based data pipeline using window functions and CTEs to process 188 months of performance data, enabling real-time tracking of compliance trends.</w:t>
      </w:r>
    </w:p>
    <w:p>
      <w:pPr>
        <w:pStyle w:val="ListBullet"/>
        <w:spacing w:before="0" w:after="40"/>
        <w:ind w:left="360"/>
      </w:pPr>
      <w:r/>
      <w:r>
        <w:rPr>
          <w:sz w:val="21"/>
        </w:rPr>
        <w:t>Developed a Random Forest classifier to predict monthly breach risk, providing leadership with a proactive tool to manage resource allocation and mitigate operational bottlenecks.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Designed a robust image classification pipeline for early wildfire detection, focusing on system scalability and model reliability for high-resolution data processing.</w:t>
      </w:r>
    </w:p>
    <w:p>
      <w:pPr>
        <w:pStyle w:val="ListBullet"/>
        <w:spacing w:before="0" w:after="40"/>
        <w:ind w:left="360"/>
      </w:pPr>
      <w:r/>
      <w:r>
        <w:rPr>
          <w:sz w:val="21"/>
        </w:rPr>
        <w:t>Presented technical findings to academic stakeholders, demonstrating how rigorous preprocessing and cross-validation techniques significantly improved model stability over baseline architectures.</w:t>
      </w:r>
    </w:p>
    <w:p>
      <w:pPr>
        <w:pStyle w:val="ListBullet"/>
        <w:spacing w:before="0" w:after="40"/>
        <w:ind w:left="360"/>
      </w:pPr>
      <w:r/>
      <w:r>
        <w:rPr>
          <w:sz w:val="21"/>
        </w:rPr>
        <w:t>Optimized the end-to-end pipeline to handle class imbalance and brightness variation, ensuring consistent performance across diverse environmental conditions.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Partnered with project peers to design interactive Power BI dashboards that surfaced actionable KPIs, directly supporting data-driven decision-making processes.</w:t>
      </w:r>
    </w:p>
    <w:p>
      <w:pPr>
        <w:pStyle w:val="ListBullet"/>
        <w:spacing w:before="0" w:after="40"/>
        <w:ind w:left="360"/>
      </w:pPr>
      <w:r/>
      <w:r>
        <w:rPr>
          <w:sz w:val="21"/>
        </w:rPr>
        <w:t>Applied engineering rigor to ML experiments by implementing reproducible feature engineering and model selection workflows to ensure consistent analytical outcomes.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