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– HealthTech Start-up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specializing in Python, TensorFlow, and scikit-learn for production-grade healthcare analytics and agentic LLM pipelines. Proven track record of delivering high-impact predictive models and data-driven insights within complex, regulated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PyTorch, TensorFlow, Scikit-learn, Agentic pipelines, CNNs, Model evaluation, Prompt engineering</w:t>
      </w:r>
    </w:p>
    <w:p>
      <w:pPr>
        <w:spacing w:before="0" w:after="20"/>
      </w:pPr>
      <w:r>
        <w:rPr>
          <w:b/>
        </w:rPr>
        <w:t xml:space="preserve">Data &amp; Engineering: </w:t>
      </w:r>
      <w:r>
        <w:t>Python, SQL, Data pipelines, MLOps, Pandas, NumPy, pytest</w:t>
      </w:r>
    </w:p>
    <w:p>
      <w:pPr>
        <w:spacing w:before="0" w:after="20"/>
      </w:pPr>
      <w:r>
        <w:rPr>
          <w:b/>
        </w:rPr>
        <w:t xml:space="preserve">Cloud &amp; Deployment: </w:t>
      </w:r>
      <w:r>
        <w:t>Oracle Cloud, AWS S3, Vercel, Next.js,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Python pipeline with multi-model failover, exponential-backoff retries, and 121 automated unit tests via pytest.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sensitive NHS England A&amp;E performance data, applying rigorous data handling practices consistent with clinical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reveal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(Scikit-learn) predicting monthly breach risk with 0.90–0.95 ROC-AUC, identifying rolling 3-month compliance as the strongest predictive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2,700+ high-resolution images using DenseNet-based CNNs, delivering a +16% performance gain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Multi-Scale Retinex preprocessing and data augmentation to mitigate brightness variation and class imbalance, with foundational PyTorch model experimentation.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