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Data Scientist with expertise in Python, SQL, machine learning, and statistical modelling, delivering production-grade analytics and clinical performance insights. Proven ability to manage cross-functional stakeholder relationships and negotiate data requirements to drive business solutions in complex environments.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BI &amp; Visualization: </w:t>
      </w:r>
      <w:r>
        <w:t>TIBCO Spotfire, Power BI, Tableau, Chart.js, Dashboard development, KPIs</w:t>
      </w:r>
    </w:p>
    <w:p>
      <w:pPr>
        <w:spacing w:before="0" w:after="20"/>
      </w:pPr>
      <w:r>
        <w:rPr>
          <w:b/>
        </w:rPr>
        <w:t xml:space="preserve">Data Science &amp; Analytics: </w:t>
      </w:r>
      <w:r>
        <w:t>Python, SQL, Machine learning, Statistical modelling, Data models, Algorithms</w:t>
      </w:r>
    </w:p>
    <w:p>
      <w:pPr>
        <w:spacing w:before="0" w:after="20"/>
      </w:pPr>
      <w:r>
        <w:rPr>
          <w:b/>
        </w:rPr>
        <w:t xml:space="preserve">Cloud &amp; Engineering: </w:t>
      </w:r>
      <w:r>
        <w:t>AWS, Azure, Snowflake, Oracle Cloud, pytest, API integration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Liaised with clinical teams to identify requirements for 4-hour target breach investigations, negotiating data modelling solutions to meet complex operational needs.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stakeholder expectations by presenting performance drivers and breach risk insights to non-technical clinical groups, ensuring alignment on business solutions.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clinical performance data using advanced SQL window functions to classify target compliance and provide specialist support for interpretation.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