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- AI Safety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AI Safety, red-teaming, and robust LLM alignment methodologies. Experienced in building production-grade evaluation frameworks that reduce harmful model outputs and improve safety filter latency through rigorous adversarial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Safety &amp; Machine Learning: </w:t>
      </w:r>
      <w:r>
        <w:t>Red-teaming, Adversarial testing, Bias mitigation, Jailbreak prevention, LLM alignment, Safety filter orchestration, Classifier training</w:t>
      </w:r>
    </w:p>
    <w:p>
      <w:pPr>
        <w:spacing w:before="0" w:after="20"/>
      </w:pPr>
      <w:r>
        <w:rPr>
          <w:b/>
        </w:rPr>
        <w:t xml:space="preserve">Engineering &amp; Infrastructure: </w:t>
      </w:r>
      <w:r>
        <w:t>Python, pytest, Oracle Cloud, AWS S3, SQL, Automated testing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Scikit-learn, TensorFlow,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key predictive features for performance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and CTEs to analyze 188 months of performance data, revealing a 29% target compliance rate.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for image classification,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