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Founding AI Engineer | Early Stage AI Start-Up | London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an MSc in Computer Science and a proven track record of deploying production-grade agentic LLM pipelines. Engineered a 24/7 automated system using Google Gemini API and Oracle Cloud that achieves an 85% ATS match threshold for complex job-application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LLM Engineering: </w:t>
      </w:r>
      <w:r>
        <w:t>Google Gemini API, agentic pipelines, LLM API integration, multi-model failover, prompt engineering</w:t>
      </w:r>
    </w:p>
    <w:p>
      <w:pPr>
        <w:spacing w:before="0" w:after="20"/>
      </w:pPr>
      <w:r>
        <w:rPr>
          <w:b/>
        </w:rPr>
        <w:t xml:space="preserve">Software Engineering: </w:t>
      </w:r>
      <w:r>
        <w:t>Python, pytest, Next.js, Oracle Cloud, AWS S3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Scikit-learn, Power BI, CNNs (DenseNet)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 and iterates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on Oracle Cloud, incorporating multi-model failover, exponential-backoff retries, and content-based deduplication for high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rank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stability and programmatically generated ATS-clean .docx files.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Next.js and Tailwind CSS dashboard on Vercel to monitor real-time agentic performance and job-matching metrics.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188 months of performance data, revealing the NHS met its 95% target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in Scikit-learn predicting monthly breach risk with 0.90–0.95 ROC-AUC, identifying seasonality as a primary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Multi-Scale Retinex preprocessing to mitigate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