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Dear The Football Association team,</w:t>
      </w:r>
    </w:p>
    <w:p>
      <w:pPr>
        <w:spacing w:before="0" w:after="160" w:line="276" w:lineRule="auto"/>
      </w:pPr>
      <w:r>
        <w:rPr>
          <w:sz w:val="21"/>
        </w:rPr>
        <w:t>Supporting the delivery of the Grassroots Data &amp; Intelligence roadmap requires a blend of technical precision and the ability to translate complex data into accessible tools. Having recently completed an MSc in Computer Science with a focus on data analytics, I am excited about the opportunity to contribute to the development of Place Profiles at The Football Association. My experience in transforming raw, multi-source data into actionable insights aligns directly with the FA’s mission to empower County FAs with evidence-based decision-making tools.</w:t>
      </w:r>
    </w:p>
    <w:p>
      <w:pPr>
        <w:spacing w:before="0" w:after="160" w:line="276" w:lineRule="auto"/>
      </w:pPr>
      <w:r>
        <w:rPr>
          <w:sz w:val="21"/>
        </w:rPr>
        <w:t>In my recent work analyzing 188 months of NHS A&amp;E performance data, I utilized advanced SQL window functions and CTEs to classify performance trends and identify critical service gaps. This project required not only technical rigor in data cleaning and modeling but also the ability to present findings through interactive Power BI dashboards that made complex performance metrics understandable for non-technical stakeholders. I am comfortable managing both recurring and ad-hoc data requests, and I am eager to bring this structured, detail-oriented approach to the Grassroots division.</w:t>
      </w:r>
    </w:p>
    <w:p>
      <w:pPr>
        <w:spacing w:before="0" w:after="160" w:line="276" w:lineRule="auto"/>
      </w:pPr>
      <w:r>
        <w:rPr>
          <w:sz w:val="21"/>
        </w:rPr>
        <w:t>Beyond my technical proficiency in Power BI, DAX, and SQL, I am a proactive problem-solver who thrives in collaborative environments. I understand that the success of the Place Profiles tool depends on effective stakeholder engagement and iterative development, and I am prepared to contribute to UAT and training efforts to ensure high adoption rates. I am energized by the prospect of working under the arch at Wembley and contributing to the data-driven future of grassroots football.</w:t>
      </w:r>
    </w:p>
    <w:p>
      <w:pPr>
        <w:spacing w:before="0" w:after="160" w:line="276" w:lineRule="auto"/>
      </w:pPr>
      <w:r>
        <w:rPr>
          <w:sz w:val="21"/>
        </w:rPr>
        <w:t>I would welcome the opportunity to discuss how my background in data analysis and my commitment to high data standards can support the FA’s changing priorities.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