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Science, specialising in building scalable machine learning and GenAI solutions to solve complex operational and supply chain challenges. Proven ability to translate large-scale, messy datasets into actionable business insights that drive decision-making and improve performance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GenAI: </w:t>
      </w:r>
      <w:r>
        <w:t>Generative AI, LLMs, Machine Learning, TensorFlow, Scikit-learn, CNNs, Model evaluation</w:t>
      </w:r>
    </w:p>
    <w:p>
      <w:pPr>
        <w:spacing w:before="0" w:after="20"/>
      </w:pPr>
      <w:r>
        <w:rPr>
          <w:b/>
        </w:rPr>
        <w:t xml:space="preserve">Data &amp; Distributed Computing: </w:t>
      </w:r>
      <w:r>
        <w:t>Python, SQL, Distributed computing foundations, Cloud-native data warehousing, Pandas, NumPy, Power BI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pytest, Version control, Oracle Cloud, AWS, Azure, Snowflake,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large-scale operational performance data using advanced SQL window functions and CTEs to quantify a 51-month 'Crisis' streak and 141× increase in 12-hour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identifying seasonality and rolling compliance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performance trends, translating complex operational data into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robustness against brightness variation using Multi-Scale Retinex preprocessing and data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model performance and statistical findings to academic stakeholders using Matplotlib and Seaborn visualisations.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