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ML Engineer – Generative AI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machine learning and applied GenAI with hands-on experience building production-grade RAG pipelines and agentic LLM systems. Proven ability to process complex operational time-series data and deploy robust, scalable AI solutions on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Generative AI &amp; LLMs: </w:t>
      </w:r>
      <w:r>
        <w:t>RAG pipelines, Vector databases (Pinecone/Milvus), Chunking strategies, Agentic pipelines, LLM API integration, Prompt engineering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Docker, Kubernetes (K8s), CI/CD, Git, pytest, Oracle Cloud, AWS, Vercel</w:t>
      </w:r>
    </w:p>
    <w:p>
      <w:pPr>
        <w:spacing w:before="0" w:after="20"/>
      </w:pPr>
      <w:r>
        <w:rPr>
          <w:b/>
        </w:rPr>
        <w:t xml:space="preserve">Machine Learning &amp; Data: </w:t>
      </w:r>
      <w:r>
        <w:t>Python, Transformer architectures, TensorFlow, Scikit-learn, SQL,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operational time-series data to identify drivers of performance collapse, revealing the 95% target was met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identifying a 141x spike in 12-hour wait times compared to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seasonality and rolling compliance as key predictive features.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RAG pipelines utilizing vector database indexing and recursive character chunking strategies to ensure context-aware, ATS-optimized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achieving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LLM pipeline incorporating multi-model failover and exponential-backoff retries to manage API latency and ensure 24/7 reliability.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system using DenseNet architectures, achieving 98.84% accuracy—a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performance, utilizing data augmentation to mitigate class imbalance across 2,700+ high-resolution images.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operational KPIs for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to support data-driven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