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specialising in predictive modelling, trend forecasting, and scenario modelling to drive strategic decision-making. Delivered a 0.95 ROC-AUC predictive model for NHS performance analytics, translating complex multi-source datasets into actionable insights for non-specialist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Analytics: </w:t>
      </w:r>
      <w:r>
        <w:t>predictive modelling, trend forecasting, scenario modelling, benchmarking, data cleaning, data governance, ethical use of data</w:t>
      </w:r>
    </w:p>
    <w:p>
      <w:pPr>
        <w:spacing w:before="0" w:after="20"/>
      </w:pPr>
      <w:r>
        <w:rPr>
          <w:b/>
        </w:rPr>
        <w:t xml:space="preserve">Languages &amp; Tools: </w:t>
      </w:r>
      <w:r>
        <w:t>Python, SQL, Power BI, Tableau, Advanced Excel, Alteryx (Foundation)</w:t>
      </w:r>
    </w:p>
    <w:p>
      <w:pPr>
        <w:spacing w:before="0" w:after="20"/>
      </w:pPr>
      <w:r>
        <w:rPr>
          <w:b/>
        </w:rPr>
        <w:t xml:space="preserve">Machine Learning &amp; HE Domain: </w:t>
      </w:r>
      <w:r>
        <w:t>Scikit-learn, Higher Education datasets (HESA/REF/NSS), model evaluation, cross-validation,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complex NHS performance data to identify reputation and service drivers, applying predictive modelling to forecast 4-hour target breach risks with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to perform benchmarking and trend forecasting, revealing the NHS met its 95% target in only 29% of 188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interactive Power BI dashboard to translate complex performance metrics into actionable insights, identifying a 141× increase in 12-hour wait times since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data cleaning and validation techniques to ensure data governance and ethical use of data when classifying performance trends for non-specialist stakeholders.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content until it clears an 85% ATS match threshold, ensuring high-quality, data-driven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121 automated unit tests (pytest) to maintain data integrity and reliability across the end-to-end Python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Oracle Cloud, managing multi-model failover and content-based deduplication to ensure robust performance.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 CNNs on 2,700+ high-resolution images, achieving 98.84% accuracy—a 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statistical validity and model robustness when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complex data modelling to surface KPIs and regional trends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to transform raw datasets into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