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expertise in predictive modelling, statistical analysis, and complex data transformation using Python, SQL, and Power BI. Delivered a 95% ROC-AUC predictive model for NHS performance trends, translating multi-source datasets into actionable strategic insights for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Analytics: </w:t>
      </w:r>
      <w:r>
        <w:t>predictive modelling, statistical modelling, exploratory data analysis, trend forecasting, scenario modelling, benchmarking, sensitivity analysis, clustering</w:t>
      </w:r>
    </w:p>
    <w:p>
      <w:pPr>
        <w:spacing w:before="0" w:after="20"/>
      </w:pPr>
      <w:r>
        <w:rPr>
          <w:b/>
        </w:rPr>
        <w:t xml:space="preserve">Languages &amp; Tools: </w:t>
      </w:r>
      <w:r>
        <w:t>Python, SQL, Power BI, Tableau, Advanced Excel, Scikit-learn, Pandas, NumPy</w:t>
      </w:r>
    </w:p>
    <w:p>
      <w:pPr>
        <w:spacing w:before="0" w:after="20"/>
      </w:pPr>
      <w:r>
        <w:rPr>
          <w:b/>
        </w:rPr>
        <w:t xml:space="preserve">Data Engineering &amp; Governance: </w:t>
      </w:r>
      <w:r>
        <w:t>data cleaning, data transformation, data validation, data governance, ETL pipelines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performance data (2010–2026) to benchmark compliance against the 95% target, identifying that the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predictive model achieving 0.90–0.95 ROC-AUC to forecast monthly breach risk, identifying rolling 3-month compliance history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perform data cleaning and transformation on complex, multi-source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trends, seasonality heatmaps, and 12-hour waiter spikes in an interactive dashboard, translating quantitative analysis into clear insights for non-specialist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data validation and sensitivity analysis to identify that January 2026 wait times were 141x higher than March 2019 levels.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AI-generated content until it clears an 85% ATS match threshold, processing ~50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multi-model failover and rate-limiting to ensure system reliability when handling large-scale external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(pytest) to ensure data integrity and pipeline robustness during automated resume tailoring.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ML pipeline for image classification on 2,700+ high-resolution images, achieving 98.84% accuracy—a 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presenting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data modelling to surface KPIs and regional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to support evidence-based conclusions.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