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with an MSc and expertise in Python, SQL, statistical modelling, and machine learning for complex engineering environments. Delivered a 98.84% accurate predictive model and SQL-driven performance analytics to optimize operational efficiency and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Machine Learning: </w:t>
      </w:r>
      <w:r>
        <w:t>Machine learning, Statistical modelling, Data modelling, Scikit-learn, TensorFlow, Keras, CNNs</w:t>
      </w:r>
    </w:p>
    <w:p>
      <w:pPr>
        <w:spacing w:before="0" w:after="20"/>
      </w:pPr>
      <w:r>
        <w:rPr>
          <w:b/>
        </w:rPr>
        <w:t xml:space="preserve">Programming &amp; Engineering: </w:t>
      </w:r>
      <w:r>
        <w:t>Python, Java (Foundation), SQL, pytest, API integration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Pandas, NumPy, Dashboards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operational performance data, applying statistical modelling to identify trends in manufacturing-style quality and throughput bottlenecks.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revealing the system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(0.90–0.95 ROC-AUC) to predict breach risk, collaborating with digital teams to define reporting requirements for engineering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interactive dashboard surfacing 6 live metrics, including a 141x spike in 12-hour waiters compared to 2019 levels, to support data-driven decision-making.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image classification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presenting findings to engineering teams to validate performance in high-stakes environments.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using Python and Java-compatible API structures to iterate outputs until clearing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pipeline on Oracle Cloud featuring multi-model failover and 121 automated unit tests via pytest to ensure system reliability.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