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Core 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Core Data Scientist with a strong academic background in machine learning and statistical modelling, focused on translating complex data into actionable business recommendations. Proven track record of partnering with stakeholders to identify operational bottlenecks and deliver scalable analytical solutions that drive measurable performance improvements.</w:t>
      </w:r>
    </w:p>
    <w:p>
      <w:pPr>
        <w:keepNext/>
        <w:spacing w:before="200" w:after="40"/>
        <w:pBdr>
          <w:bottom w:val="single" w:sz="6" w:space="1" w:color="808080"/>
        </w:pBdr>
      </w:pPr>
      <w:r>
        <w:rPr>
          <w:b/>
          <w:sz w:val="22"/>
        </w:rPr>
        <w:t>CORE SKILLS</w:t>
      </w:r>
    </w:p>
    <w:p>
      <w:pPr>
        <w:spacing w:before="0" w:after="20"/>
      </w:pPr>
      <w:r>
        <w:rPr>
          <w:b/>
        </w:rPr>
        <w:t xml:space="preserve">Data Science &amp; Machine Learning: </w:t>
      </w:r>
      <w:r>
        <w:t>predictive modelling, statistical modelling, experimental design, uncertainty quantification, supervised learning, unsupervised learning, Scikit-learn, TensorFlow</w:t>
      </w:r>
    </w:p>
    <w:p>
      <w:pPr>
        <w:spacing w:before="0" w:after="20"/>
      </w:pPr>
      <w:r>
        <w:rPr>
          <w:b/>
        </w:rPr>
        <w:t xml:space="preserve">Programming &amp; Data: </w:t>
      </w:r>
      <w:r>
        <w:t>Python, SQL, Pandas, NumPy, Power BI, Tableau</w:t>
      </w:r>
    </w:p>
    <w:p>
      <w:pPr>
        <w:spacing w:before="0" w:after="20"/>
      </w:pPr>
      <w:r>
        <w:rPr>
          <w:b/>
        </w:rPr>
        <w:t xml:space="preserve">GenAI &amp; Engineering: </w:t>
      </w:r>
      <w:r>
        <w:t>Large Language Models, prompt engineering, AWS, Oracle Cloud, pytest</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Partnered with stakeholders to investigate the long-term collapse of the 4-hour waiting time target, translating complex SQL and ML outputs into clear, actionable recommendations for service improvement.</w:t>
      </w:r>
    </w:p>
    <w:p>
      <w:pPr>
        <w:pStyle w:val="ListBullet"/>
        <w:spacing w:before="0" w:after="40"/>
        <w:ind w:left="360"/>
      </w:pPr>
      <w:r/>
      <w:r>
        <w:rPr>
          <w:sz w:val="21"/>
        </w:rPr>
        <w:t>Communicated findings on operational bottlenecks to non-technical audiences, highlighting the transition from 'On Target' to 'Crisis' status across 188 months of performance data.</w:t>
      </w:r>
    </w:p>
    <w:p>
      <w:pPr>
        <w:pStyle w:val="ListBullet"/>
        <w:spacing w:before="0" w:after="40"/>
        <w:ind w:left="360"/>
      </w:pPr>
      <w:r/>
      <w:r>
        <w:rPr>
          <w:sz w:val="21"/>
        </w:rPr>
        <w:t>Developed a Random Forest classifier to predict monthly breach risk, providing leadership with a proactive tool to identify high-risk periods based on seasonality and compliance history.</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achieving 98.84% accuracy and a +16% improvement over baseline architectures.</w:t>
      </w:r>
    </w:p>
    <w:p>
      <w:pPr>
        <w:pStyle w:val="ListBullet"/>
        <w:spacing w:before="0" w:after="40"/>
        <w:ind w:left="360"/>
      </w:pPr>
      <w:r/>
      <w:r>
        <w:rPr>
          <w:sz w:val="21"/>
        </w:rPr>
        <w:t>Applied GridSearchCV and cross-validation to ensure model robustness, presenting findings on class imbalance and brightness variation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