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Analyst II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(Distinction) specialising in data analytics, SQL-driven performance modelling, and cloud-native BI solutions. Proven ability to translate complex datasets into actionable business insights that drive operational decision-making and performance improvements.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Power BI, Tableau, Data Modelling, DAX, Power Query, Data Governance, Sigma (Foundation)</w:t>
      </w:r>
    </w:p>
    <w:p>
      <w:pPr>
        <w:spacing w:before="0" w:after="20"/>
      </w:pPr>
      <w:r>
        <w:rPr>
          <w:b/>
        </w:rPr>
        <w:t xml:space="preserve">Languages &amp; Analytics: </w:t>
      </w:r>
      <w:r>
        <w:t>Python, Pandas, NumPy, Scikit-learn, Statistical Analysis, Cross-validation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Cloud-native architecture, AWS, Azure, Snowflake, Oracle Cloud, pytest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real NHS England A&amp;E performance data (Aug 2010 – Mar 2026) to identify the drivers behind the long-term collapse of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(LAG, AVG OVER), CTEs, and CASE logic to classify every month as On Target / Warning / Crisis, revealing the NHS met its 95% target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an unbroken Crisis-status streak of 51 consecutive months since October 2021, with January 2026 recording 71,517 patients waiting 12+ hours — 141× the March 2019 level.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