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Analyst with a proven track record of transforming complex, sensitive datasets into actionable insights through advanced SQL, Power BI, and statistical modelling. Expert in maintaining high standards of data governance and accuracy while delivering reporting solutions that directly support critical operational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Data modelling, Advanced Excel, Tableau</w:t>
      </w:r>
    </w:p>
    <w:p>
      <w:pPr>
        <w:spacing w:before="0" w:after="20"/>
      </w:pPr>
      <w:r>
        <w:rPr>
          <w:b/>
        </w:rPr>
        <w:t xml:space="preserve">Analysis &amp; Reporting: </w:t>
      </w:r>
      <w:r>
        <w:t>Data analysis, Reporting, Visualisation, SQL, Pandas, NumPy</w:t>
      </w:r>
    </w:p>
    <w:p>
      <w:pPr>
        <w:spacing w:before="0" w:after="20"/>
      </w:pPr>
      <w:r>
        <w:rPr>
          <w:b/>
        </w:rPr>
        <w:t xml:space="preserve">Engineering &amp; Automation: </w:t>
      </w:r>
      <w:r>
        <w:t>Python, pytest, Automation, Data quality improvement, Scikit-learn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sensitive NHS England A&amp;E performance data to identify drivers behind 4-hour target breaches, ensuring strict data handling and confidentiality.</w:t>
      </w:r>
    </w:p>
    <w:p>
      <w:pPr>
        <w:pStyle w:val="ListBullet"/>
        <w:spacing w:before="0" w:after="40"/>
        <w:ind w:left="360"/>
      </w:pPr>
      <w:r/>
      <w:r>
        <w:rPr>
          <w:sz w:val="21"/>
        </w:rPr>
        <w:t>Wrote advanced SQL queries using window functions and CTEs to classify performance status, reducing manual data processing time by 15 hours per reporting cycle.</w:t>
      </w:r>
    </w:p>
    <w:p>
      <w:pPr>
        <w:pStyle w:val="ListBullet"/>
        <w:spacing w:before="0" w:after="40"/>
        <w:ind w:left="360"/>
      </w:pPr>
      <w:r/>
      <w:r>
        <w:rPr>
          <w:sz w:val="21"/>
        </w:rPr>
        <w:t>Built an interactive dashboard surfacing 6 live KPIs, enabling stakeholders to track compliance trends and 12-hour waiter spikes in real-time.</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on 2,700+ high-resolution images, achieving 98.84% accuracy—a +16% improvement over baseline architectures.</w:t>
      </w:r>
    </w:p>
    <w:p>
      <w:pPr>
        <w:pStyle w:val="ListBullet"/>
        <w:spacing w:before="0" w:after="40"/>
        <w:ind w:left="360"/>
      </w:pPr>
      <w:r/>
      <w:r>
        <w:rPr>
          <w:sz w:val="21"/>
        </w:rPr>
        <w:t>Applied GridSearchCV and cross-validation to ensure model robustness and data quality, presenting findings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enabling stakeholders to track region-based trends and KPIs for improved decision-making.</w:t>
      </w:r>
    </w:p>
    <w:p>
      <w:pPr>
        <w:pStyle w:val="ListBullet"/>
        <w:spacing w:before="0" w:after="40"/>
        <w:ind w:left="360"/>
      </w:pPr>
      <w:r/>
      <w:r>
        <w:rPr>
          <w:sz w:val="21"/>
        </w:rPr>
        <w:t>Improved reporting processes by running reproducible ML experiments with Scikit-learn, applying feature engineering to clean and transform complex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