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13 July 2026</w:t>
      </w:r>
    </w:p>
    <w:p>
      <w:pPr>
        <w:spacing w:before="0" w:after="160" w:line="276" w:lineRule="auto"/>
      </w:pPr>
      <w:r>
        <w:rPr>
          <w:sz w:val="21"/>
        </w:rPr>
        <w:t>Dear Abound team,</w:t>
      </w:r>
    </w:p>
    <w:p>
      <w:pPr>
        <w:spacing w:before="0" w:after="160" w:line="276" w:lineRule="auto"/>
      </w:pPr>
      <w:r>
        <w:rPr>
          <w:sz w:val="21"/>
        </w:rPr>
        <w:t>Your mission to make fair, affordable personal finance accessible through advanced AI and Open Banking data is a compelling application of technology. I am particularly drawn to your ability to achieve profitability at scale while maintaining market-leading credit performance, and I am eager to bring my experience in building agentic AI systems to your engineering team.</w:t>
      </w:r>
    </w:p>
    <w:p>
      <w:pPr>
        <w:spacing w:before="0" w:after="160" w:line="276" w:lineRule="auto"/>
      </w:pPr>
      <w:r>
        <w:rPr>
          <w:sz w:val="21"/>
        </w:rPr>
        <w:t>During my recent projects, I focused on building reliable, production-grade AI solutions. I developed an end-to-end agentic LLM pipeline that uses Google Gemini to automate complex document tailoring, incorporating quality-gate loops that ensure an 85% ATS match threshold. By implementing multi-model failover, rate-limiting, and 121 automated unit tests, I ensured the system remained stable in a 24/7 production environment on Oracle Cloud. This experience in shipping maintainable Python code and designing evaluation processes directly mirrors the work your AI Engineering team is doing to improve lending operations.</w:t>
      </w:r>
    </w:p>
    <w:p>
      <w:pPr>
        <w:spacing w:before="0" w:after="160" w:line="276" w:lineRule="auto"/>
      </w:pPr>
      <w:r>
        <w:rPr>
          <w:sz w:val="21"/>
        </w:rPr>
        <w:t>Beyond automation, I have a strong foundation in data analysis, having investigated 188 months of NHS performance data using advanced SQL window functions and Random Forest classifiers. This work taught me how to translate complex, real-world datasets into actionable insights—a skill I am keen to apply to your credit risk workflows. I thrive in environments where I can take ownership of a project from the initial prompt design to the final deployment, and I am looking for a team where I can learn fast and contribute to high-impact financial products.</w:t>
      </w:r>
    </w:p>
    <w:p>
      <w:pPr>
        <w:spacing w:before="0" w:after="160" w:line="276" w:lineRule="auto"/>
      </w:pPr>
      <w:r>
        <w:rPr>
          <w:sz w:val="21"/>
        </w:rPr>
        <w:t>I would appreciate the opportunity to discuss how my technical background and commitment to building reliable AI systems can support Abound’s expansion. Thank you for your time and consideration.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