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Capgemini team,</w:t>
      </w:r>
    </w:p>
    <w:p>
      <w:pPr>
        <w:spacing w:before="0" w:after="160" w:line="276" w:lineRule="auto"/>
      </w:pPr>
      <w:r>
        <w:rPr>
          <w:sz w:val="21"/>
        </w:rPr>
        <w:t>Capgemini’s reputation as a global leader in AI-powered business transformation, particularly your focus on making AI 'real' for enterprise clients, is what draws me to this Junior AI Engineer role. I am particularly interested in how your team balances rapid innovation with the rigorous governance and Responsible AI principles required for large-scale enterprise deployment.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LLM pipeline that mirrors the complexity of enterprise automation. By implementing an agentic quality-gate loop, I ensured that every AI-generated output met an 85% ATS match threshold before delivery. This project required not just prompt engineering, but also the integration of multi-model failover, rate-limiting, and 121 automated unit tests to ensure the system remained reliable in a 24/7 production environment on Oracle Cloud. I understand that at Capgemini, the goal is to move beyond prototypes to scalable, production-ready solutions, and I have focused my development efforts on exactly that—building systems that are observable, testable, and efficient.</w:t>
      </w:r>
    </w:p>
    <w:p>
      <w:pPr>
        <w:spacing w:before="0" w:after="160" w:line="276" w:lineRule="auto"/>
      </w:pPr>
      <w:r>
        <w:rPr>
          <w:sz w:val="21"/>
        </w:rPr>
        <w:t>Beyond my work with LLMs, I have a strong foundation in data engineering and predictive modelling. My analysis of NHS A&amp;E performance data involved processing 188 months of records using advanced SQL and Scikit-learn to build a risk-prediction model with 0.90–0.95 ROC-AUC. This experience taught me the importance of data integrity and the necessity of clear, actionable insights when presenting findings to stakeholders. Whether I am optimizing a RAG pipeline or developing a new intelligent agent workflow, I prioritize the same level of technical rigor and ethical consideration that Capgemini is known for.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your team’s mission of reimagining what is possible through technology. I would welcome the opportunity to discuss how my hands-on experience with agentic frameworks and cloud-based AI deployment can support your upcoming projects.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