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13 July 2026</w:t>
      </w:r>
    </w:p>
    <w:p>
      <w:pPr>
        <w:spacing w:before="0" w:after="160" w:line="276" w:lineRule="auto"/>
      </w:pPr>
      <w:r>
        <w:rPr>
          <w:sz w:val="21"/>
        </w:rPr>
        <w:t>Dear Compare the Market team,</w:t>
      </w:r>
    </w:p>
    <w:p>
      <w:pPr>
        <w:spacing w:before="0" w:after="160" w:line="276" w:lineRule="auto"/>
      </w:pPr>
      <w:r>
        <w:rPr>
          <w:sz w:val="21"/>
        </w:rPr>
        <w:t>Your mission to make financial decision-making a breeze for millions is exactly the kind of high-impact challenge I am looking for. I am particularly impressed by how Compare the Market integrates AI into the customer journey, and I am eager to contribute to the engineering that takes these models from experimentation into reliable, scalable production use.</w:t>
      </w:r>
    </w:p>
    <w:p>
      <w:pPr>
        <w:spacing w:before="0" w:after="160" w:line="276" w:lineRule="auto"/>
      </w:pPr>
      <w:r>
        <w:rPr>
          <w:sz w:val="21"/>
        </w:rPr>
        <w:t>In my recent work, I built an end-to-end agentic LLM pipeline that operates 24/7. To ensure this system was production-ready, I implemented multi-model failover, rate-limiting, and a quality-gate loop that iterates outputs until they meet an 85% ATS-match threshold. I also authored 121 automated unit tests using pytest to ensure the system remained stable under load. This experience in managing the full ML lifecycle—from design and testing to deployment and monitoring—is directly applicable to the work your team is doing to productionise AI capabilities.</w:t>
      </w:r>
    </w:p>
    <w:p>
      <w:pPr>
        <w:spacing w:before="0" w:after="160" w:line="276" w:lineRule="auto"/>
      </w:pPr>
      <w:r>
        <w:rPr>
          <w:sz w:val="21"/>
        </w:rPr>
        <w:t>Beyond my work with LLMs, I have a strong foundation in predictive modelling, having developed a Random Forest classifier that achieved 0.90–0.95 ROC-AUC on complex NHS performance data. I am comfortable working with large datasets, writing complex SQL, and building the monitoring tools necessary to track model drift and operational health. I am also an active user of agentic coding tools and am constantly exploring how these patterns can accelerate ML engineering workflows.</w:t>
      </w:r>
    </w:p>
    <w:p>
      <w:pPr>
        <w:spacing w:before="0" w:after="160" w:line="276" w:lineRule="auto"/>
      </w:pPr>
      <w:r>
        <w:rPr>
          <w:sz w:val="21"/>
        </w:rPr>
        <w:t>I am drawn to Compare the Market because of your commitment to pace, performance, and engineering excellence. I am ready to stretch myself and contribute to a team that values results and responsible AI practices. I would welcome the opportunity to discuss how my technical background and hands-on approach to ML engineering can support your upcoming projects.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